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1CD3C859" w14:textId="77777777" w:rsidTr="00ED102A">
        <w:tc>
          <w:tcPr>
            <w:tcW w:w="9576" w:type="dxa"/>
          </w:tcPr>
          <w:p w14:paraId="7417FE6A" w14:textId="3618FF41" w:rsidR="00EF689B" w:rsidRDefault="00EF689B" w:rsidP="00ED102A">
            <w:pPr>
              <w:pStyle w:val="14bldcentr"/>
            </w:pPr>
            <w:r>
              <w:t xml:space="preserve">SOLICITATION </w:t>
            </w:r>
            <w:r w:rsidR="00932B83">
              <w:t xml:space="preserve">ADDENDUM </w:t>
            </w:r>
            <w:r w:rsidR="00F86A81">
              <w:t xml:space="preserve">FOUR </w:t>
            </w:r>
          </w:p>
          <w:p w14:paraId="578823D7" w14:textId="77777777" w:rsidR="00932B83" w:rsidRDefault="00932B83" w:rsidP="00ED102A">
            <w:pPr>
              <w:pStyle w:val="14bldcentr"/>
            </w:pPr>
            <w:r>
              <w:t>QUESTIONS AND ANSWERS</w:t>
            </w:r>
          </w:p>
        </w:tc>
      </w:tr>
    </w:tbl>
    <w:p w14:paraId="03B9BEA0" w14:textId="77777777" w:rsidR="00932B83" w:rsidRDefault="00932B83" w:rsidP="00932B83">
      <w:pPr>
        <w:pStyle w:val="14bldcentr"/>
      </w:pPr>
    </w:p>
    <w:p w14:paraId="07D2ADC3" w14:textId="433C667A"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D05A49">
        <w:rPr>
          <w:b/>
          <w:bCs/>
          <w:sz w:val="28"/>
        </w:rPr>
        <w:t>122777 O5</w:t>
      </w:r>
    </w:p>
    <w:p w14:paraId="3860B6B5" w14:textId="0DBD3CA0" w:rsidR="000E2D5E" w:rsidRPr="00955B4D" w:rsidRDefault="00D05A49"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Network Manager Services</w:t>
      </w:r>
    </w:p>
    <w:p w14:paraId="714DFF50" w14:textId="21DD666A" w:rsidR="000E2D5E" w:rsidRDefault="000E2D5E" w:rsidP="000E2D5E">
      <w:pPr>
        <w:pStyle w:val="Level1Body"/>
        <w:jc w:val="center"/>
        <w:rPr>
          <w:b/>
          <w:bCs/>
          <w:color w:val="auto"/>
          <w:sz w:val="28"/>
          <w:szCs w:val="28"/>
        </w:rPr>
      </w:pPr>
      <w:r w:rsidRPr="00A863B0">
        <w:rPr>
          <w:b/>
          <w:bCs/>
          <w:color w:val="auto"/>
          <w:sz w:val="28"/>
          <w:szCs w:val="28"/>
        </w:rPr>
        <w:t xml:space="preserve">Opening Date: </w:t>
      </w:r>
      <w:r w:rsidR="00D05A49">
        <w:rPr>
          <w:b/>
          <w:bCs/>
          <w:color w:val="auto"/>
          <w:sz w:val="28"/>
          <w:szCs w:val="28"/>
        </w:rPr>
        <w:t>October 23, 2025, 2 pm CST</w:t>
      </w:r>
    </w:p>
    <w:bookmarkEnd w:id="0"/>
    <w:p w14:paraId="58489DCB" w14:textId="441A7E6A"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6048A3">
        <w:rPr>
          <w:b/>
          <w:bCs/>
          <w:color w:val="auto"/>
          <w:sz w:val="28"/>
          <w:szCs w:val="28"/>
        </w:rPr>
        <w:t>October 3</w:t>
      </w:r>
      <w:r w:rsidR="00D05A49">
        <w:rPr>
          <w:b/>
          <w:bCs/>
          <w:color w:val="auto"/>
          <w:sz w:val="28"/>
          <w:szCs w:val="28"/>
        </w:rPr>
        <w:t>, 2025</w:t>
      </w:r>
    </w:p>
    <w:p w14:paraId="74DA46CA" w14:textId="77777777" w:rsidR="00932B83" w:rsidRPr="00BD5697" w:rsidRDefault="00932B83" w:rsidP="00932B83">
      <w:pPr>
        <w:pStyle w:val="Level3Body"/>
      </w:pPr>
    </w:p>
    <w:p w14:paraId="74DAAF9C"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17AFB161" wp14:editId="4A3498A0">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31FD7"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048FFA2C" w14:textId="77777777" w:rsidR="00932B83" w:rsidRPr="00BD5697" w:rsidRDefault="00932B83" w:rsidP="00932B83">
      <w:pPr>
        <w:pStyle w:val="Heading4"/>
      </w:pPr>
      <w:r>
        <w:t>Questions and Answers</w:t>
      </w:r>
    </w:p>
    <w:bookmarkEnd w:id="1"/>
    <w:p w14:paraId="227D1F43" w14:textId="77777777" w:rsidR="00932B83" w:rsidRPr="00873992" w:rsidRDefault="00932B83" w:rsidP="00932B83">
      <w:pPr>
        <w:pStyle w:val="Level1Body"/>
        <w:rPr>
          <w:sz w:val="20"/>
        </w:rPr>
      </w:pPr>
    </w:p>
    <w:p w14:paraId="729D2900" w14:textId="77777777" w:rsidR="00932B83" w:rsidRPr="00873992" w:rsidRDefault="00932B83" w:rsidP="00932B83">
      <w:pPr>
        <w:pStyle w:val="Level1Body"/>
        <w:rPr>
          <w:sz w:val="20"/>
        </w:rPr>
      </w:pPr>
      <w:r w:rsidRPr="00873992">
        <w:rPr>
          <w:sz w:val="20"/>
        </w:rPr>
        <w:t>Following are the questions submitted and answers provided for the above-mentioned solicitation. The questions and answers are to be considered as part of the solicitation. 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32"/>
        <w:gridCol w:w="1762"/>
        <w:gridCol w:w="961"/>
        <w:gridCol w:w="2221"/>
        <w:gridCol w:w="3374"/>
      </w:tblGrid>
      <w:tr w:rsidR="0015078F" w:rsidRPr="00873992" w14:paraId="6E1864C5" w14:textId="77777777" w:rsidTr="0006541E">
        <w:tc>
          <w:tcPr>
            <w:tcW w:w="1067" w:type="dxa"/>
            <w:shd w:val="clear" w:color="auto" w:fill="E6E6E6" w:themeFill="background1" w:themeFillShade="E6"/>
          </w:tcPr>
          <w:p w14:paraId="123ACC7B" w14:textId="77777777" w:rsidR="00932B83" w:rsidRPr="00873992" w:rsidRDefault="00932B83" w:rsidP="00932B83">
            <w:pPr>
              <w:pStyle w:val="Level1Body"/>
              <w:jc w:val="center"/>
              <w:rPr>
                <w:rFonts w:cs="Arial"/>
                <w:u w:val="single"/>
              </w:rPr>
            </w:pPr>
            <w:r w:rsidRPr="00873992">
              <w:rPr>
                <w:rFonts w:cs="Arial"/>
                <w:u w:val="single"/>
              </w:rPr>
              <w:t>Question Number</w:t>
            </w:r>
          </w:p>
        </w:tc>
        <w:tc>
          <w:tcPr>
            <w:tcW w:w="1762" w:type="dxa"/>
            <w:shd w:val="clear" w:color="auto" w:fill="E6E6E6" w:themeFill="background1" w:themeFillShade="E6"/>
          </w:tcPr>
          <w:p w14:paraId="74C33850" w14:textId="12979612" w:rsidR="00932B83" w:rsidRPr="00873992" w:rsidRDefault="00932B83" w:rsidP="00932B83">
            <w:pPr>
              <w:pStyle w:val="Level1Body"/>
              <w:jc w:val="center"/>
              <w:rPr>
                <w:rFonts w:cs="Arial"/>
                <w:u w:val="single"/>
              </w:rPr>
            </w:pPr>
            <w:r w:rsidRPr="00873992">
              <w:rPr>
                <w:rFonts w:cs="Arial"/>
                <w:u w:val="single"/>
              </w:rPr>
              <w:t>ITB</w:t>
            </w:r>
          </w:p>
          <w:p w14:paraId="005446A8" w14:textId="77777777" w:rsidR="00932B83" w:rsidRPr="00873992" w:rsidRDefault="00932B83" w:rsidP="00932B83">
            <w:pPr>
              <w:pStyle w:val="Level1Body"/>
              <w:jc w:val="center"/>
              <w:rPr>
                <w:rFonts w:cs="Arial"/>
                <w:u w:val="single"/>
              </w:rPr>
            </w:pPr>
            <w:r w:rsidRPr="00873992">
              <w:rPr>
                <w:rFonts w:cs="Arial"/>
                <w:u w:val="single"/>
              </w:rPr>
              <w:t>Section</w:t>
            </w:r>
          </w:p>
          <w:p w14:paraId="3C275C98" w14:textId="77777777" w:rsidR="00932B83" w:rsidRPr="00873992" w:rsidRDefault="00932B83" w:rsidP="00932B83">
            <w:pPr>
              <w:pStyle w:val="Level1Body"/>
              <w:jc w:val="center"/>
              <w:rPr>
                <w:rFonts w:cs="Arial"/>
                <w:u w:val="single"/>
              </w:rPr>
            </w:pPr>
            <w:r w:rsidRPr="00873992">
              <w:rPr>
                <w:rFonts w:cs="Arial"/>
                <w:u w:val="single"/>
              </w:rPr>
              <w:t>Reference</w:t>
            </w:r>
          </w:p>
        </w:tc>
        <w:tc>
          <w:tcPr>
            <w:tcW w:w="1042" w:type="dxa"/>
            <w:shd w:val="clear" w:color="auto" w:fill="E6E6E6" w:themeFill="background1" w:themeFillShade="E6"/>
          </w:tcPr>
          <w:p w14:paraId="4D180A96" w14:textId="2F571965" w:rsidR="00932B83" w:rsidRPr="00873992" w:rsidRDefault="00932B83" w:rsidP="00932B83">
            <w:pPr>
              <w:pStyle w:val="Level1Body"/>
              <w:jc w:val="center"/>
              <w:rPr>
                <w:rFonts w:cs="Arial"/>
                <w:u w:val="single"/>
              </w:rPr>
            </w:pPr>
            <w:r w:rsidRPr="00873992">
              <w:rPr>
                <w:rFonts w:cs="Arial"/>
                <w:u w:val="single"/>
              </w:rPr>
              <w:t>ITB</w:t>
            </w:r>
          </w:p>
          <w:p w14:paraId="2E5AFCC7" w14:textId="77777777" w:rsidR="00932B83" w:rsidRPr="00873992" w:rsidRDefault="00932B83" w:rsidP="00932B83">
            <w:pPr>
              <w:pStyle w:val="Level1Body"/>
              <w:jc w:val="center"/>
              <w:rPr>
                <w:rFonts w:cs="Arial"/>
                <w:u w:val="single"/>
              </w:rPr>
            </w:pPr>
            <w:r w:rsidRPr="00873992">
              <w:rPr>
                <w:rFonts w:cs="Arial"/>
                <w:u w:val="single"/>
              </w:rPr>
              <w:t>Page Number</w:t>
            </w:r>
          </w:p>
        </w:tc>
        <w:tc>
          <w:tcPr>
            <w:tcW w:w="2714" w:type="dxa"/>
            <w:shd w:val="clear" w:color="auto" w:fill="E6E6E6" w:themeFill="background1" w:themeFillShade="E6"/>
          </w:tcPr>
          <w:p w14:paraId="73A0216D" w14:textId="77777777" w:rsidR="00932B83" w:rsidRPr="00873992" w:rsidRDefault="00932B83" w:rsidP="00932B83">
            <w:pPr>
              <w:pStyle w:val="Level1Body"/>
              <w:jc w:val="center"/>
              <w:rPr>
                <w:rFonts w:cs="Arial"/>
                <w:u w:val="single"/>
              </w:rPr>
            </w:pPr>
            <w:r w:rsidRPr="00873992">
              <w:rPr>
                <w:rFonts w:cs="Arial"/>
                <w:u w:val="single"/>
              </w:rPr>
              <w:t>Question</w:t>
            </w:r>
          </w:p>
        </w:tc>
        <w:tc>
          <w:tcPr>
            <w:tcW w:w="2765" w:type="dxa"/>
            <w:shd w:val="clear" w:color="auto" w:fill="E6E6E6" w:themeFill="background1" w:themeFillShade="E6"/>
          </w:tcPr>
          <w:p w14:paraId="612F4935" w14:textId="77777777" w:rsidR="00932B83" w:rsidRPr="00873992" w:rsidRDefault="00932B83" w:rsidP="00932B83">
            <w:pPr>
              <w:pStyle w:val="Level1Body"/>
              <w:jc w:val="center"/>
              <w:rPr>
                <w:rFonts w:cs="Arial"/>
                <w:u w:val="single"/>
              </w:rPr>
            </w:pPr>
            <w:r w:rsidRPr="00873992">
              <w:rPr>
                <w:rFonts w:cs="Arial"/>
                <w:u w:val="single"/>
              </w:rPr>
              <w:t>State Response</w:t>
            </w:r>
          </w:p>
        </w:tc>
      </w:tr>
      <w:tr w:rsidR="0015078F" w:rsidRPr="00873992" w14:paraId="295F33F6" w14:textId="77777777" w:rsidTr="0006541E">
        <w:tc>
          <w:tcPr>
            <w:tcW w:w="1067" w:type="dxa"/>
          </w:tcPr>
          <w:p w14:paraId="38DED6B3" w14:textId="77777777" w:rsidR="006F2960" w:rsidRPr="00873992" w:rsidRDefault="006F2960" w:rsidP="00A02988">
            <w:pPr>
              <w:pStyle w:val="Level1Body"/>
              <w:jc w:val="left"/>
              <w:rPr>
                <w:rFonts w:cs="Arial"/>
              </w:rPr>
            </w:pPr>
            <w:r w:rsidRPr="00873992">
              <w:rPr>
                <w:rFonts w:cs="Arial"/>
              </w:rPr>
              <w:t>1.</w:t>
            </w:r>
          </w:p>
        </w:tc>
        <w:tc>
          <w:tcPr>
            <w:tcW w:w="1762" w:type="dxa"/>
          </w:tcPr>
          <w:p w14:paraId="57DF51B0" w14:textId="62B8D86D" w:rsidR="006F2960" w:rsidRPr="00873992" w:rsidRDefault="006F2960" w:rsidP="00A02988">
            <w:pPr>
              <w:pStyle w:val="Level1Body"/>
              <w:jc w:val="left"/>
              <w:rPr>
                <w:rFonts w:cs="Arial"/>
              </w:rPr>
            </w:pPr>
            <w:r w:rsidRPr="00873992">
              <w:rPr>
                <w:rFonts w:cs="Arial"/>
              </w:rPr>
              <w:t>V.D., Current Financing Model, 2</w:t>
            </w:r>
          </w:p>
        </w:tc>
        <w:tc>
          <w:tcPr>
            <w:tcW w:w="1042" w:type="dxa"/>
          </w:tcPr>
          <w:p w14:paraId="2D4DC3C6" w14:textId="6853B49F" w:rsidR="006F2960" w:rsidRPr="00873992" w:rsidRDefault="006F2960" w:rsidP="00A02988">
            <w:pPr>
              <w:pStyle w:val="Level1Body"/>
              <w:jc w:val="left"/>
              <w:rPr>
                <w:rFonts w:cs="Arial"/>
              </w:rPr>
            </w:pPr>
            <w:r w:rsidRPr="00873992">
              <w:rPr>
                <w:rFonts w:cs="Arial"/>
              </w:rPr>
              <w:t>27</w:t>
            </w:r>
          </w:p>
        </w:tc>
        <w:tc>
          <w:tcPr>
            <w:tcW w:w="2714" w:type="dxa"/>
          </w:tcPr>
          <w:p w14:paraId="1B5C5FEB" w14:textId="6E452E98" w:rsidR="006F2960" w:rsidRPr="00873992" w:rsidRDefault="006F2960" w:rsidP="00A02988">
            <w:pPr>
              <w:pStyle w:val="Level1Body"/>
              <w:jc w:val="left"/>
              <w:rPr>
                <w:rFonts w:cs="Arial"/>
              </w:rPr>
            </w:pPr>
            <w:r w:rsidRPr="00873992">
              <w:rPr>
                <w:rFonts w:cs="Arial"/>
              </w:rPr>
              <w:t xml:space="preserve">Please confirm that the following financial solution complies with Nebraska Revised Statute 84-1205, which requires “operation and maintenance of the portal from revenue generated” and Section D (Current Financing Model) of the RFP which states that the "The Portal is primarily funded through a self-funding model" but "The Network Manager may charge a fixed hourly rate for certain time and material" activities. </w:t>
            </w:r>
          </w:p>
        </w:tc>
        <w:tc>
          <w:tcPr>
            <w:tcW w:w="2765" w:type="dxa"/>
          </w:tcPr>
          <w:p w14:paraId="098FBDD8" w14:textId="6E039874" w:rsidR="007C224F" w:rsidRPr="00873992" w:rsidRDefault="007C224F" w:rsidP="00DB73FF">
            <w:pPr>
              <w:pStyle w:val="Level1Body"/>
              <w:jc w:val="left"/>
              <w:rPr>
                <w:rFonts w:cs="Arial"/>
              </w:rPr>
            </w:pPr>
            <w:r w:rsidRPr="00873992">
              <w:rPr>
                <w:rFonts w:cs="Arial"/>
              </w:rPr>
              <w:t xml:space="preserve">Time and materials projects are a component of Portal operations, but funding from Portal </w:t>
            </w:r>
            <w:r w:rsidR="0015078F" w:rsidRPr="00873992">
              <w:rPr>
                <w:rFonts w:cs="Arial"/>
              </w:rPr>
              <w:t>F</w:t>
            </w:r>
            <w:r w:rsidRPr="00873992">
              <w:rPr>
                <w:rFonts w:cs="Arial"/>
              </w:rPr>
              <w:t>ees must be the primary funding source.</w:t>
            </w:r>
          </w:p>
          <w:p w14:paraId="3F9C72CA" w14:textId="16D8E705" w:rsidR="006F2960" w:rsidRPr="00873992" w:rsidRDefault="006913A0" w:rsidP="00DB73FF">
            <w:pPr>
              <w:pStyle w:val="Level1Body"/>
              <w:jc w:val="left"/>
              <w:rPr>
                <w:rFonts w:cs="Arial"/>
              </w:rPr>
            </w:pPr>
            <w:r w:rsidRPr="00873992">
              <w:rPr>
                <w:rFonts w:cs="Arial"/>
              </w:rPr>
              <w:t xml:space="preserve">The </w:t>
            </w:r>
            <w:r w:rsidR="007C224F" w:rsidRPr="00873992">
              <w:rPr>
                <w:rFonts w:cs="Arial"/>
              </w:rPr>
              <w:t xml:space="preserve">incumbent </w:t>
            </w:r>
            <w:r w:rsidR="0015078F" w:rsidRPr="00873992">
              <w:rPr>
                <w:rFonts w:cs="Arial"/>
              </w:rPr>
              <w:t>V</w:t>
            </w:r>
            <w:r w:rsidR="007C224F" w:rsidRPr="00873992">
              <w:rPr>
                <w:rFonts w:cs="Arial"/>
              </w:rPr>
              <w:t xml:space="preserve">endor reported that as of October 31, 2024, 99.2% of all the incumbent </w:t>
            </w:r>
            <w:r w:rsidR="0015078F" w:rsidRPr="00873992">
              <w:rPr>
                <w:rFonts w:cs="Arial"/>
              </w:rPr>
              <w:t>V</w:t>
            </w:r>
            <w:r w:rsidR="007C224F" w:rsidRPr="00873992">
              <w:rPr>
                <w:rFonts w:cs="Arial"/>
              </w:rPr>
              <w:t xml:space="preserve">endor’s revenue in 2024 came at no cost to the State and that 10 projects </w:t>
            </w:r>
            <w:r w:rsidR="00AA1AF0" w:rsidRPr="00873992">
              <w:rPr>
                <w:rFonts w:cs="Arial"/>
              </w:rPr>
              <w:t xml:space="preserve">(out of 278 projects) </w:t>
            </w:r>
            <w:r w:rsidR="007C224F" w:rsidRPr="00873992">
              <w:rPr>
                <w:rFonts w:cs="Arial"/>
              </w:rPr>
              <w:t xml:space="preserve">were funded </w:t>
            </w:r>
            <w:r w:rsidR="002A732A" w:rsidRPr="00873992">
              <w:rPr>
                <w:rFonts w:cs="Arial"/>
              </w:rPr>
              <w:t>on a</w:t>
            </w:r>
            <w:r w:rsidR="007C224F" w:rsidRPr="00873992">
              <w:rPr>
                <w:rFonts w:cs="Arial"/>
              </w:rPr>
              <w:t xml:space="preserve"> time and material</w:t>
            </w:r>
            <w:r w:rsidR="002A732A" w:rsidRPr="00873992">
              <w:rPr>
                <w:rFonts w:cs="Arial"/>
              </w:rPr>
              <w:t xml:space="preserve"> basis</w:t>
            </w:r>
            <w:r w:rsidRPr="00873992">
              <w:rPr>
                <w:rFonts w:cs="Arial"/>
              </w:rPr>
              <w:t xml:space="preserve">.  </w:t>
            </w:r>
          </w:p>
          <w:p w14:paraId="41D87DCF" w14:textId="7F783DC1" w:rsidR="00AA1AF0" w:rsidRPr="00873992" w:rsidRDefault="00AA1AF0" w:rsidP="00DB73FF">
            <w:pPr>
              <w:pStyle w:val="Level1Body"/>
              <w:jc w:val="left"/>
              <w:rPr>
                <w:rFonts w:cs="Arial"/>
              </w:rPr>
            </w:pPr>
          </w:p>
        </w:tc>
      </w:tr>
      <w:tr w:rsidR="0015078F" w:rsidRPr="00873992" w14:paraId="2C24E7B3" w14:textId="77777777" w:rsidTr="0006541E">
        <w:tc>
          <w:tcPr>
            <w:tcW w:w="1067" w:type="dxa"/>
          </w:tcPr>
          <w:p w14:paraId="44591BF7" w14:textId="77777777" w:rsidR="006F2960" w:rsidRPr="00873992" w:rsidRDefault="006F2960" w:rsidP="00A02988">
            <w:pPr>
              <w:pStyle w:val="Level1Body"/>
              <w:jc w:val="left"/>
              <w:rPr>
                <w:rFonts w:cs="Arial"/>
              </w:rPr>
            </w:pPr>
            <w:r w:rsidRPr="00873992">
              <w:rPr>
                <w:rFonts w:cs="Arial"/>
              </w:rPr>
              <w:t>2.</w:t>
            </w:r>
          </w:p>
        </w:tc>
        <w:tc>
          <w:tcPr>
            <w:tcW w:w="1762" w:type="dxa"/>
          </w:tcPr>
          <w:p w14:paraId="2992A408" w14:textId="33126764" w:rsidR="006F2960" w:rsidRPr="00873992" w:rsidRDefault="006F2960" w:rsidP="00A02988">
            <w:pPr>
              <w:pStyle w:val="Level1Body"/>
              <w:jc w:val="left"/>
              <w:rPr>
                <w:rFonts w:cs="Arial"/>
              </w:rPr>
            </w:pPr>
            <w:r w:rsidRPr="00873992">
              <w:rPr>
                <w:rFonts w:cs="Arial"/>
              </w:rPr>
              <w:t>V.M – Software Ownership and Licensing</w:t>
            </w:r>
          </w:p>
        </w:tc>
        <w:tc>
          <w:tcPr>
            <w:tcW w:w="1042" w:type="dxa"/>
          </w:tcPr>
          <w:p w14:paraId="79AB7D73" w14:textId="64152990" w:rsidR="006F2960" w:rsidRPr="00873992" w:rsidRDefault="006F2960" w:rsidP="00A02988">
            <w:pPr>
              <w:pStyle w:val="Level1Body"/>
              <w:jc w:val="left"/>
              <w:rPr>
                <w:rFonts w:cs="Arial"/>
              </w:rPr>
            </w:pPr>
            <w:r w:rsidRPr="00873992">
              <w:rPr>
                <w:rFonts w:cs="Arial"/>
              </w:rPr>
              <w:t>37</w:t>
            </w:r>
          </w:p>
        </w:tc>
        <w:tc>
          <w:tcPr>
            <w:tcW w:w="2714" w:type="dxa"/>
          </w:tcPr>
          <w:p w14:paraId="42F8ADF9" w14:textId="1AE86908" w:rsidR="006F2960" w:rsidRPr="00873992" w:rsidRDefault="006F2960" w:rsidP="00A02988">
            <w:pPr>
              <w:pStyle w:val="Level1Body"/>
              <w:jc w:val="left"/>
              <w:rPr>
                <w:rFonts w:cs="Arial"/>
              </w:rPr>
            </w:pPr>
            <w:r w:rsidRPr="00873992">
              <w:rPr>
                <w:rFonts w:cs="Arial"/>
              </w:rPr>
              <w:t>In regard to the answer to question 11 from Round 1 of Q&amp;A, what are the exceptions (in terms of software ownership) outlined in the incumbent Vendor’s contract that the State is NOT entitled to?</w:t>
            </w:r>
          </w:p>
        </w:tc>
        <w:tc>
          <w:tcPr>
            <w:tcW w:w="2765" w:type="dxa"/>
          </w:tcPr>
          <w:p w14:paraId="5936F369" w14:textId="25F2CAFF" w:rsidR="006F2960" w:rsidRPr="00873992" w:rsidRDefault="00B35AA1" w:rsidP="00DB73FF">
            <w:pPr>
              <w:pStyle w:val="Level1Body"/>
              <w:jc w:val="left"/>
              <w:rPr>
                <w:rFonts w:cs="Arial"/>
              </w:rPr>
            </w:pPr>
            <w:r w:rsidRPr="00873992">
              <w:rPr>
                <w:rFonts w:cs="Arial"/>
              </w:rPr>
              <w:t xml:space="preserve">Section </w:t>
            </w:r>
            <w:r w:rsidR="009A3783" w:rsidRPr="00873992">
              <w:rPr>
                <w:rFonts w:cs="Arial"/>
              </w:rPr>
              <w:t xml:space="preserve">II. </w:t>
            </w:r>
            <w:r w:rsidRPr="00873992">
              <w:rPr>
                <w:rFonts w:cs="Arial"/>
              </w:rPr>
              <w:t xml:space="preserve">O. of the incumbent Vendor’s contract provides details regarding the State’s license to all software currently utilized in operating the Portal. </w:t>
            </w:r>
            <w:r w:rsidR="00AA1AF0" w:rsidRPr="00873992">
              <w:rPr>
                <w:rFonts w:cs="Arial"/>
              </w:rPr>
              <w:t>Electronic Services and third-party software</w:t>
            </w:r>
            <w:r w:rsidRPr="00873992">
              <w:rPr>
                <w:rFonts w:cs="Arial"/>
              </w:rPr>
              <w:t xml:space="preserve"> are excepted from the license</w:t>
            </w:r>
            <w:r w:rsidR="00AA1AF0" w:rsidRPr="00873992">
              <w:rPr>
                <w:rFonts w:cs="Arial"/>
              </w:rPr>
              <w:t xml:space="preserve">. There </w:t>
            </w:r>
            <w:r w:rsidR="006913A0" w:rsidRPr="00873992">
              <w:rPr>
                <w:rFonts w:cs="Arial"/>
              </w:rPr>
              <w:t xml:space="preserve">is a list of Electronic Services in the </w:t>
            </w:r>
            <w:r w:rsidR="00AA1AF0" w:rsidRPr="00873992">
              <w:rPr>
                <w:rFonts w:cs="Arial"/>
              </w:rPr>
              <w:t>incumbent</w:t>
            </w:r>
            <w:r w:rsidR="006913A0" w:rsidRPr="00873992">
              <w:rPr>
                <w:rFonts w:cs="Arial"/>
              </w:rPr>
              <w:t xml:space="preserve"> </w:t>
            </w:r>
            <w:r w:rsidR="00AA1AF0" w:rsidRPr="00873992">
              <w:rPr>
                <w:rFonts w:cs="Arial"/>
              </w:rPr>
              <w:t xml:space="preserve">Vendor’s </w:t>
            </w:r>
            <w:r w:rsidR="006913A0" w:rsidRPr="00873992">
              <w:rPr>
                <w:rFonts w:cs="Arial"/>
              </w:rPr>
              <w:t>contract</w:t>
            </w:r>
            <w:r w:rsidR="002F554B" w:rsidRPr="00873992">
              <w:rPr>
                <w:rFonts w:cs="Arial"/>
              </w:rPr>
              <w:t xml:space="preserve">. Electronic Services is defined </w:t>
            </w:r>
            <w:r w:rsidR="009A3783" w:rsidRPr="00873992">
              <w:rPr>
                <w:rFonts w:cs="Arial"/>
              </w:rPr>
              <w:t xml:space="preserve">in the incumbent Vendor’s </w:t>
            </w:r>
            <w:r w:rsidR="009A3783" w:rsidRPr="00873992">
              <w:rPr>
                <w:rFonts w:cs="Arial"/>
              </w:rPr>
              <w:lastRenderedPageBreak/>
              <w:t xml:space="preserve">contract </w:t>
            </w:r>
            <w:r w:rsidR="002F554B" w:rsidRPr="00873992">
              <w:rPr>
                <w:rFonts w:cs="Arial"/>
              </w:rPr>
              <w:t>to include commercial, readily available services provided through hardware, software and network infrastructure hosted by the Contractor's parent, or another of its affiliates, that enable applications developed by the Contractor or any of</w:t>
            </w:r>
            <w:r w:rsidR="00AA1AF0" w:rsidRPr="00873992">
              <w:rPr>
                <w:rFonts w:cs="Arial"/>
              </w:rPr>
              <w:t xml:space="preserve"> </w:t>
            </w:r>
            <w:r w:rsidR="002F554B" w:rsidRPr="00873992">
              <w:rPr>
                <w:rFonts w:cs="Arial"/>
              </w:rPr>
              <w:t>its affiliates, to authorize and capture credit and debit cards for payments; and to process all other forms of electronic funds transfer, and to manage the registration of Users and</w:t>
            </w:r>
            <w:r w:rsidR="00AA1AF0" w:rsidRPr="00873992">
              <w:rPr>
                <w:rFonts w:cs="Arial"/>
              </w:rPr>
              <w:t xml:space="preserve"> </w:t>
            </w:r>
            <w:r w:rsidR="002F554B" w:rsidRPr="00873992">
              <w:rPr>
                <w:rFonts w:cs="Arial"/>
              </w:rPr>
              <w:t>the online transaction logging data, and the billing and collection of funds, for Network Users of fee service</w:t>
            </w:r>
            <w:r w:rsidR="00704485" w:rsidRPr="00873992">
              <w:rPr>
                <w:rFonts w:cs="Arial"/>
              </w:rPr>
              <w:t xml:space="preserve">s. </w:t>
            </w:r>
            <w:r w:rsidR="002F554B" w:rsidRPr="00873992">
              <w:rPr>
                <w:rFonts w:cs="Arial"/>
              </w:rPr>
              <w:t>It includes the services set forth on Exhibit E</w:t>
            </w:r>
            <w:r w:rsidR="002A732A" w:rsidRPr="00873992">
              <w:rPr>
                <w:rFonts w:cs="Arial"/>
              </w:rPr>
              <w:t xml:space="preserve"> to the </w:t>
            </w:r>
            <w:r w:rsidR="00AA1AF0" w:rsidRPr="00873992">
              <w:rPr>
                <w:rFonts w:cs="Arial"/>
              </w:rPr>
              <w:t>incumbent Vendor’s c</w:t>
            </w:r>
            <w:r w:rsidR="002A732A" w:rsidRPr="00873992">
              <w:rPr>
                <w:rFonts w:cs="Arial"/>
              </w:rPr>
              <w:t xml:space="preserve">ontract.  The </w:t>
            </w:r>
            <w:r w:rsidR="0015078F" w:rsidRPr="00873992">
              <w:rPr>
                <w:rFonts w:cs="Arial"/>
              </w:rPr>
              <w:t>incumbent Vendor’s</w:t>
            </w:r>
            <w:r w:rsidR="002A732A" w:rsidRPr="00873992">
              <w:rPr>
                <w:rFonts w:cs="Arial"/>
              </w:rPr>
              <w:t xml:space="preserve"> contract is</w:t>
            </w:r>
            <w:r w:rsidR="0015078F" w:rsidRPr="00873992">
              <w:rPr>
                <w:rFonts w:cs="Arial"/>
              </w:rPr>
              <w:t xml:space="preserve"> numbered 84687 </w:t>
            </w:r>
            <w:r w:rsidR="00AA1AF0" w:rsidRPr="00873992">
              <w:rPr>
                <w:rFonts w:cs="Arial"/>
              </w:rPr>
              <w:t>O4 and</w:t>
            </w:r>
            <w:r w:rsidR="0015078F" w:rsidRPr="00873992">
              <w:rPr>
                <w:rFonts w:cs="Arial"/>
              </w:rPr>
              <w:t xml:space="preserve"> can be found online in the State Contracts Database: </w:t>
            </w:r>
            <w:r w:rsidR="002A732A" w:rsidRPr="00873992">
              <w:rPr>
                <w:rFonts w:cs="Arial"/>
              </w:rPr>
              <w:t xml:space="preserve"> </w:t>
            </w:r>
            <w:r w:rsidR="0015078F" w:rsidRPr="00873992">
              <w:rPr>
                <w:rFonts w:cs="Arial"/>
              </w:rPr>
              <w:t xml:space="preserve"> </w:t>
            </w:r>
            <w:hyperlink r:id="rId8" w:history="1">
              <w:r w:rsidR="000075E4" w:rsidRPr="00873992">
                <w:rPr>
                  <w:rStyle w:val="Hyperlink"/>
                  <w:rFonts w:cs="Arial"/>
                </w:rPr>
                <w:t>https://statecontracts.nebraska.gov</w:t>
              </w:r>
            </w:hyperlink>
            <w:r w:rsidR="000075E4" w:rsidRPr="00873992">
              <w:rPr>
                <w:rFonts w:cs="Arial"/>
              </w:rPr>
              <w:t xml:space="preserve"> </w:t>
            </w:r>
          </w:p>
        </w:tc>
      </w:tr>
      <w:tr w:rsidR="0015078F" w:rsidRPr="00873992" w14:paraId="4E7CB304" w14:textId="77777777" w:rsidTr="0006541E">
        <w:tc>
          <w:tcPr>
            <w:tcW w:w="1067" w:type="dxa"/>
          </w:tcPr>
          <w:p w14:paraId="1ED98EBA" w14:textId="77777777" w:rsidR="006F2960" w:rsidRPr="00873992" w:rsidRDefault="006F2960" w:rsidP="00A02988">
            <w:pPr>
              <w:pStyle w:val="Level1Body"/>
              <w:jc w:val="left"/>
              <w:rPr>
                <w:rFonts w:cs="Arial"/>
              </w:rPr>
            </w:pPr>
            <w:r w:rsidRPr="00873992">
              <w:rPr>
                <w:rFonts w:cs="Arial"/>
              </w:rPr>
              <w:lastRenderedPageBreak/>
              <w:t>3.</w:t>
            </w:r>
          </w:p>
        </w:tc>
        <w:tc>
          <w:tcPr>
            <w:tcW w:w="1762" w:type="dxa"/>
          </w:tcPr>
          <w:p w14:paraId="1B45411A" w14:textId="6EEFC2CD" w:rsidR="006F2960" w:rsidRPr="00873992" w:rsidRDefault="006F2960" w:rsidP="00A02988">
            <w:pPr>
              <w:pStyle w:val="Level1Body"/>
              <w:jc w:val="left"/>
              <w:rPr>
                <w:rFonts w:cs="Arial"/>
              </w:rPr>
            </w:pPr>
            <w:r w:rsidRPr="00873992">
              <w:rPr>
                <w:rFonts w:cs="Arial"/>
              </w:rPr>
              <w:t>V.O. Transition Plan Requirements</w:t>
            </w:r>
          </w:p>
        </w:tc>
        <w:tc>
          <w:tcPr>
            <w:tcW w:w="1042" w:type="dxa"/>
          </w:tcPr>
          <w:p w14:paraId="4ADF3984" w14:textId="7F113645" w:rsidR="006F2960" w:rsidRPr="00873992" w:rsidRDefault="006F2960" w:rsidP="00A02988">
            <w:pPr>
              <w:pStyle w:val="Level1Body"/>
              <w:jc w:val="left"/>
              <w:rPr>
                <w:rFonts w:cs="Arial"/>
              </w:rPr>
            </w:pPr>
            <w:r w:rsidRPr="00873992">
              <w:rPr>
                <w:rFonts w:cs="Arial"/>
              </w:rPr>
              <w:t>38</w:t>
            </w:r>
          </w:p>
        </w:tc>
        <w:tc>
          <w:tcPr>
            <w:tcW w:w="2714" w:type="dxa"/>
          </w:tcPr>
          <w:p w14:paraId="70AE6A32" w14:textId="525BE263" w:rsidR="006F2960" w:rsidRPr="00873992" w:rsidRDefault="006F2960" w:rsidP="00A02988">
            <w:pPr>
              <w:pStyle w:val="Level1Body"/>
              <w:jc w:val="left"/>
              <w:rPr>
                <w:rFonts w:cs="Arial"/>
              </w:rPr>
            </w:pPr>
            <w:r w:rsidRPr="00873992">
              <w:rPr>
                <w:rFonts w:cs="Arial"/>
              </w:rPr>
              <w:t>Can the State confirm that the incoming vendor will be authorized to propose and prioritize the sequence of service and website transitions, subject to review and approval by the NSRB (i.e., the incumbent vendor is informed of the transition order and not a deciding party)</w:t>
            </w:r>
          </w:p>
        </w:tc>
        <w:tc>
          <w:tcPr>
            <w:tcW w:w="2765" w:type="dxa"/>
          </w:tcPr>
          <w:p w14:paraId="6E2CF9EC" w14:textId="176B439D" w:rsidR="006F2960" w:rsidRPr="00873992" w:rsidRDefault="006913A0" w:rsidP="00DB73FF">
            <w:pPr>
              <w:pStyle w:val="Level1Body"/>
              <w:jc w:val="left"/>
              <w:rPr>
                <w:rFonts w:cs="Arial"/>
              </w:rPr>
            </w:pPr>
            <w:r w:rsidRPr="00873992">
              <w:rPr>
                <w:rFonts w:cs="Arial"/>
              </w:rPr>
              <w:t xml:space="preserve">The </w:t>
            </w:r>
            <w:r w:rsidR="002A732A" w:rsidRPr="00873992">
              <w:rPr>
                <w:rFonts w:cs="Arial"/>
              </w:rPr>
              <w:t>selected</w:t>
            </w:r>
            <w:r w:rsidRPr="00873992">
              <w:rPr>
                <w:rFonts w:cs="Arial"/>
              </w:rPr>
              <w:t xml:space="preserve"> </w:t>
            </w:r>
            <w:r w:rsidR="00AA1AF0" w:rsidRPr="00873992">
              <w:rPr>
                <w:rFonts w:cs="Arial"/>
              </w:rPr>
              <w:t>V</w:t>
            </w:r>
            <w:r w:rsidRPr="00873992">
              <w:rPr>
                <w:rFonts w:cs="Arial"/>
              </w:rPr>
              <w:t>endor will work with the NSRB</w:t>
            </w:r>
            <w:r w:rsidR="007C224F" w:rsidRPr="00873992">
              <w:rPr>
                <w:rFonts w:cs="Arial"/>
              </w:rPr>
              <w:t xml:space="preserve">, </w:t>
            </w:r>
            <w:r w:rsidRPr="00873992">
              <w:rPr>
                <w:rFonts w:cs="Arial"/>
              </w:rPr>
              <w:t>the Partner</w:t>
            </w:r>
            <w:r w:rsidR="007C224F" w:rsidRPr="00873992">
              <w:rPr>
                <w:rFonts w:cs="Arial"/>
              </w:rPr>
              <w:t xml:space="preserve">, and the incumbent </w:t>
            </w:r>
            <w:r w:rsidR="00AA1AF0" w:rsidRPr="00873992">
              <w:rPr>
                <w:rFonts w:cs="Arial"/>
              </w:rPr>
              <w:t>V</w:t>
            </w:r>
            <w:r w:rsidR="007C224F" w:rsidRPr="00873992">
              <w:rPr>
                <w:rFonts w:cs="Arial"/>
              </w:rPr>
              <w:t>endor</w:t>
            </w:r>
            <w:r w:rsidRPr="00873992">
              <w:rPr>
                <w:rFonts w:cs="Arial"/>
              </w:rPr>
              <w:t xml:space="preserve"> to establish the sequence of service and website transitions.  </w:t>
            </w:r>
            <w:r w:rsidR="007C224F" w:rsidRPr="00873992">
              <w:rPr>
                <w:rFonts w:cs="Arial"/>
              </w:rPr>
              <w:t xml:space="preserve">The transition sequence will be subject to final approval by the NSRB. </w:t>
            </w:r>
          </w:p>
        </w:tc>
      </w:tr>
      <w:tr w:rsidR="0015078F" w:rsidRPr="00873992" w14:paraId="0FFAE289" w14:textId="77777777" w:rsidTr="0006541E">
        <w:tc>
          <w:tcPr>
            <w:tcW w:w="1067" w:type="dxa"/>
          </w:tcPr>
          <w:p w14:paraId="20EC8A08" w14:textId="77777777" w:rsidR="006913A0" w:rsidRPr="00873992" w:rsidRDefault="006913A0" w:rsidP="006913A0">
            <w:pPr>
              <w:pStyle w:val="Level1Body"/>
              <w:jc w:val="left"/>
              <w:rPr>
                <w:rFonts w:cs="Arial"/>
              </w:rPr>
            </w:pPr>
            <w:r w:rsidRPr="00873992">
              <w:rPr>
                <w:rFonts w:cs="Arial"/>
              </w:rPr>
              <w:t>4.</w:t>
            </w:r>
          </w:p>
        </w:tc>
        <w:tc>
          <w:tcPr>
            <w:tcW w:w="1762" w:type="dxa"/>
          </w:tcPr>
          <w:p w14:paraId="2D7805C3" w14:textId="0A7C135B" w:rsidR="006913A0" w:rsidRPr="00873992" w:rsidRDefault="006913A0" w:rsidP="006913A0">
            <w:pPr>
              <w:pStyle w:val="Level1Body"/>
              <w:jc w:val="left"/>
              <w:rPr>
                <w:rFonts w:cs="Arial"/>
              </w:rPr>
            </w:pPr>
            <w:r w:rsidRPr="00873992">
              <w:rPr>
                <w:rFonts w:cs="Arial"/>
              </w:rPr>
              <w:t>V.D., Current Financing Model</w:t>
            </w:r>
          </w:p>
        </w:tc>
        <w:tc>
          <w:tcPr>
            <w:tcW w:w="1042" w:type="dxa"/>
          </w:tcPr>
          <w:p w14:paraId="7081CDCC" w14:textId="54FF4819" w:rsidR="006913A0" w:rsidRPr="00873992" w:rsidRDefault="006913A0" w:rsidP="006913A0">
            <w:pPr>
              <w:pStyle w:val="Level1Body"/>
              <w:jc w:val="left"/>
              <w:rPr>
                <w:rFonts w:cs="Arial"/>
              </w:rPr>
            </w:pPr>
            <w:r w:rsidRPr="00873992">
              <w:rPr>
                <w:rFonts w:cs="Arial"/>
              </w:rPr>
              <w:t>27</w:t>
            </w:r>
          </w:p>
        </w:tc>
        <w:tc>
          <w:tcPr>
            <w:tcW w:w="2714" w:type="dxa"/>
          </w:tcPr>
          <w:p w14:paraId="3EC101A5" w14:textId="607DD034" w:rsidR="006913A0" w:rsidRPr="00873992" w:rsidRDefault="006913A0" w:rsidP="006913A0">
            <w:pPr>
              <w:pStyle w:val="Level1Body"/>
              <w:jc w:val="left"/>
              <w:rPr>
                <w:rFonts w:cs="Arial"/>
              </w:rPr>
            </w:pPr>
            <w:r w:rsidRPr="00873992">
              <w:rPr>
                <w:rFonts w:cs="Arial"/>
              </w:rPr>
              <w:t>Is there a limitation on the total amount of work that can be billed under the time and materials rate card for this contract?</w:t>
            </w:r>
          </w:p>
        </w:tc>
        <w:tc>
          <w:tcPr>
            <w:tcW w:w="2765" w:type="dxa"/>
          </w:tcPr>
          <w:p w14:paraId="709034D4" w14:textId="3D3AEF7E" w:rsidR="00471BD4" w:rsidRPr="00873992" w:rsidRDefault="00471BD4" w:rsidP="00DB73FF">
            <w:pPr>
              <w:pStyle w:val="Level1Body"/>
              <w:jc w:val="left"/>
              <w:rPr>
                <w:rFonts w:cs="Arial"/>
              </w:rPr>
            </w:pPr>
            <w:r w:rsidRPr="00873992">
              <w:rPr>
                <w:rFonts w:cs="Arial"/>
              </w:rPr>
              <w:t xml:space="preserve">Time and materials projects are a component of Portal operations, but funding from Portal </w:t>
            </w:r>
            <w:r w:rsidR="008C0C88" w:rsidRPr="00873992">
              <w:rPr>
                <w:rFonts w:cs="Arial"/>
              </w:rPr>
              <w:t>F</w:t>
            </w:r>
            <w:r w:rsidRPr="00873992">
              <w:rPr>
                <w:rFonts w:cs="Arial"/>
              </w:rPr>
              <w:t>ees must be the primary funding source.</w:t>
            </w:r>
          </w:p>
          <w:p w14:paraId="0D68FE92" w14:textId="2991735F" w:rsidR="006913A0" w:rsidRPr="00873992" w:rsidRDefault="00471BD4" w:rsidP="00DB73FF">
            <w:pPr>
              <w:pStyle w:val="Level1Body"/>
              <w:jc w:val="left"/>
              <w:rPr>
                <w:rFonts w:cs="Arial"/>
              </w:rPr>
            </w:pPr>
            <w:r w:rsidRPr="00873992">
              <w:rPr>
                <w:rFonts w:cs="Arial"/>
              </w:rPr>
              <w:t xml:space="preserve">The incumbent </w:t>
            </w:r>
            <w:r w:rsidR="00AA1AF0" w:rsidRPr="00873992">
              <w:rPr>
                <w:rFonts w:cs="Arial"/>
              </w:rPr>
              <w:t>V</w:t>
            </w:r>
            <w:r w:rsidRPr="00873992">
              <w:rPr>
                <w:rFonts w:cs="Arial"/>
              </w:rPr>
              <w:t xml:space="preserve">endor reported that as of October 31, 2024, 99.2% of all the incumbent </w:t>
            </w:r>
            <w:r w:rsidR="00AA1AF0" w:rsidRPr="00873992">
              <w:rPr>
                <w:rFonts w:cs="Arial"/>
              </w:rPr>
              <w:t>V</w:t>
            </w:r>
            <w:r w:rsidRPr="00873992">
              <w:rPr>
                <w:rFonts w:cs="Arial"/>
              </w:rPr>
              <w:t xml:space="preserve">endor’s revenue in 2024 came at no cost to the State and that 10 projects </w:t>
            </w:r>
            <w:r w:rsidR="00AA1AF0" w:rsidRPr="00873992">
              <w:rPr>
                <w:rFonts w:cs="Arial"/>
              </w:rPr>
              <w:t xml:space="preserve">(out of 278 projects) were funded on a time and material basis.  </w:t>
            </w:r>
          </w:p>
        </w:tc>
      </w:tr>
      <w:tr w:rsidR="0015078F" w:rsidRPr="00873992" w14:paraId="351DEFAA" w14:textId="77777777" w:rsidTr="0006541E">
        <w:tc>
          <w:tcPr>
            <w:tcW w:w="1067" w:type="dxa"/>
          </w:tcPr>
          <w:p w14:paraId="26D15DCA" w14:textId="77777777" w:rsidR="00327201" w:rsidRPr="00873992" w:rsidRDefault="00327201" w:rsidP="00327201">
            <w:pPr>
              <w:pStyle w:val="Level1Body"/>
              <w:jc w:val="left"/>
              <w:rPr>
                <w:rFonts w:cs="Arial"/>
              </w:rPr>
            </w:pPr>
            <w:r w:rsidRPr="00873992">
              <w:rPr>
                <w:rFonts w:cs="Arial"/>
              </w:rPr>
              <w:t>5.</w:t>
            </w:r>
          </w:p>
        </w:tc>
        <w:tc>
          <w:tcPr>
            <w:tcW w:w="1762" w:type="dxa"/>
          </w:tcPr>
          <w:p w14:paraId="4907D4D1" w14:textId="247D627A" w:rsidR="00327201" w:rsidRPr="00873992" w:rsidRDefault="00327201" w:rsidP="00327201">
            <w:pPr>
              <w:pStyle w:val="Level1Body"/>
              <w:jc w:val="left"/>
              <w:rPr>
                <w:rFonts w:cs="Arial"/>
              </w:rPr>
            </w:pPr>
            <w:r w:rsidRPr="00873992">
              <w:rPr>
                <w:rFonts w:cs="Arial"/>
              </w:rPr>
              <w:t>V.D., Current Financing Model</w:t>
            </w:r>
          </w:p>
        </w:tc>
        <w:tc>
          <w:tcPr>
            <w:tcW w:w="1042" w:type="dxa"/>
          </w:tcPr>
          <w:p w14:paraId="4C7C25E0" w14:textId="7937A30E" w:rsidR="00327201" w:rsidRPr="00873992" w:rsidRDefault="00327201" w:rsidP="00327201">
            <w:pPr>
              <w:pStyle w:val="Level1Body"/>
              <w:jc w:val="left"/>
              <w:rPr>
                <w:rFonts w:cs="Arial"/>
              </w:rPr>
            </w:pPr>
            <w:r w:rsidRPr="00873992">
              <w:rPr>
                <w:rFonts w:cs="Arial"/>
              </w:rPr>
              <w:t>27</w:t>
            </w:r>
          </w:p>
        </w:tc>
        <w:tc>
          <w:tcPr>
            <w:tcW w:w="2714" w:type="dxa"/>
          </w:tcPr>
          <w:p w14:paraId="51C5D4F2" w14:textId="66774DE3" w:rsidR="00327201" w:rsidRPr="00873992" w:rsidRDefault="00327201" w:rsidP="00327201">
            <w:pPr>
              <w:pStyle w:val="Level1Body"/>
              <w:jc w:val="left"/>
              <w:rPr>
                <w:rFonts w:cs="Arial"/>
              </w:rPr>
            </w:pPr>
            <w:r w:rsidRPr="00873992">
              <w:rPr>
                <w:rFonts w:cs="Arial"/>
              </w:rPr>
              <w:t xml:space="preserve">Can the State confirm whether the time and materials rate card applies to all categories of work (including maintenance and </w:t>
            </w:r>
            <w:r w:rsidRPr="00873992">
              <w:rPr>
                <w:rFonts w:cs="Arial"/>
              </w:rPr>
              <w:lastRenderedPageBreak/>
              <w:t>operations (M&amp;O), enhancements, website migration, and new service development)? If not, which activities does the rate card apply to?</w:t>
            </w:r>
          </w:p>
        </w:tc>
        <w:tc>
          <w:tcPr>
            <w:tcW w:w="2765" w:type="dxa"/>
          </w:tcPr>
          <w:p w14:paraId="65505A63" w14:textId="38924FA0" w:rsidR="007C224F" w:rsidRPr="00873992" w:rsidRDefault="007C224F" w:rsidP="00DB73FF">
            <w:pPr>
              <w:pStyle w:val="Level1Body"/>
              <w:jc w:val="left"/>
              <w:rPr>
                <w:rFonts w:cs="Arial"/>
              </w:rPr>
            </w:pPr>
            <w:r w:rsidRPr="00873992">
              <w:rPr>
                <w:rFonts w:cs="Arial"/>
              </w:rPr>
              <w:lastRenderedPageBreak/>
              <w:t xml:space="preserve">Time and materials projects are a component of Portal operations, but funding from Portal </w:t>
            </w:r>
            <w:r w:rsidR="008C0C88" w:rsidRPr="00873992">
              <w:rPr>
                <w:rFonts w:cs="Arial"/>
              </w:rPr>
              <w:t>F</w:t>
            </w:r>
            <w:r w:rsidRPr="00873992">
              <w:rPr>
                <w:rFonts w:cs="Arial"/>
              </w:rPr>
              <w:t>ees must be the primary funding source</w:t>
            </w:r>
            <w:r w:rsidR="005F4A2C" w:rsidRPr="00873992">
              <w:rPr>
                <w:rFonts w:cs="Arial"/>
              </w:rPr>
              <w:t xml:space="preserve"> to support all categories of work</w:t>
            </w:r>
            <w:r w:rsidRPr="00873992">
              <w:rPr>
                <w:rFonts w:cs="Arial"/>
              </w:rPr>
              <w:t>.</w:t>
            </w:r>
          </w:p>
          <w:p w14:paraId="0CE5FF6B" w14:textId="43A00F9B" w:rsidR="00327201" w:rsidRPr="00873992" w:rsidRDefault="007C224F" w:rsidP="00DB73FF">
            <w:pPr>
              <w:pStyle w:val="Level1Body"/>
              <w:jc w:val="left"/>
              <w:rPr>
                <w:rFonts w:cs="Arial"/>
              </w:rPr>
            </w:pPr>
            <w:r w:rsidRPr="00873992">
              <w:rPr>
                <w:rFonts w:cs="Arial"/>
              </w:rPr>
              <w:t xml:space="preserve">The incumbent </w:t>
            </w:r>
            <w:r w:rsidR="00AA1AF0" w:rsidRPr="00873992">
              <w:rPr>
                <w:rFonts w:cs="Arial"/>
              </w:rPr>
              <w:t>V</w:t>
            </w:r>
            <w:r w:rsidRPr="00873992">
              <w:rPr>
                <w:rFonts w:cs="Arial"/>
              </w:rPr>
              <w:t xml:space="preserve">endor reported that as of October 31, 2024, 99.2% </w:t>
            </w:r>
            <w:r w:rsidRPr="00873992">
              <w:rPr>
                <w:rFonts w:cs="Arial"/>
              </w:rPr>
              <w:lastRenderedPageBreak/>
              <w:t xml:space="preserve">of all the incumbent </w:t>
            </w:r>
            <w:r w:rsidR="00AA1AF0" w:rsidRPr="00873992">
              <w:rPr>
                <w:rFonts w:cs="Arial"/>
              </w:rPr>
              <w:t>V</w:t>
            </w:r>
            <w:r w:rsidRPr="00873992">
              <w:rPr>
                <w:rFonts w:cs="Arial"/>
              </w:rPr>
              <w:t xml:space="preserve">endor’s revenue in 2024 came at no cost to the State and that 10 projects </w:t>
            </w:r>
            <w:r w:rsidR="002F554B" w:rsidRPr="00873992">
              <w:rPr>
                <w:rFonts w:cs="Arial"/>
              </w:rPr>
              <w:t>(out of 278</w:t>
            </w:r>
            <w:r w:rsidR="00AA1AF0" w:rsidRPr="00873992">
              <w:rPr>
                <w:rFonts w:cs="Arial"/>
              </w:rPr>
              <w:t xml:space="preserve"> projects</w:t>
            </w:r>
            <w:r w:rsidR="002F554B" w:rsidRPr="00873992">
              <w:rPr>
                <w:rFonts w:cs="Arial"/>
              </w:rPr>
              <w:t xml:space="preserve">) </w:t>
            </w:r>
            <w:r w:rsidRPr="00873992">
              <w:rPr>
                <w:rFonts w:cs="Arial"/>
              </w:rPr>
              <w:t>were funded by time and materials</w:t>
            </w:r>
            <w:r w:rsidR="00327201" w:rsidRPr="00873992">
              <w:rPr>
                <w:rFonts w:cs="Arial"/>
              </w:rPr>
              <w:t>.</w:t>
            </w:r>
          </w:p>
          <w:p w14:paraId="2D872833" w14:textId="382D81F7" w:rsidR="002F554B" w:rsidRPr="00873992" w:rsidRDefault="002F554B" w:rsidP="00DB73FF">
            <w:pPr>
              <w:pStyle w:val="Level1Body"/>
              <w:jc w:val="left"/>
              <w:rPr>
                <w:rFonts w:cs="Arial"/>
              </w:rPr>
            </w:pPr>
            <w:r w:rsidRPr="00873992">
              <w:rPr>
                <w:rFonts w:cs="Arial"/>
              </w:rPr>
              <w:t xml:space="preserve">Situations where time and materials projects may be appropriate include projects that bring in no transactional revenue and cannot otherwise be supported </w:t>
            </w:r>
            <w:r w:rsidR="00704485" w:rsidRPr="00873992">
              <w:rPr>
                <w:rFonts w:cs="Arial"/>
              </w:rPr>
              <w:t>by</w:t>
            </w:r>
            <w:r w:rsidRPr="00873992">
              <w:rPr>
                <w:rFonts w:cs="Arial"/>
              </w:rPr>
              <w:t xml:space="preserve"> </w:t>
            </w:r>
            <w:r w:rsidR="00471BD4" w:rsidRPr="00873992">
              <w:rPr>
                <w:rFonts w:cs="Arial"/>
              </w:rPr>
              <w:t xml:space="preserve">existing </w:t>
            </w:r>
            <w:r w:rsidRPr="00873992">
              <w:rPr>
                <w:rFonts w:cs="Arial"/>
              </w:rPr>
              <w:t xml:space="preserve">Portal revenue.  </w:t>
            </w:r>
            <w:r w:rsidR="002A732A" w:rsidRPr="00873992">
              <w:rPr>
                <w:rFonts w:cs="Arial"/>
              </w:rPr>
              <w:t xml:space="preserve">When projects are funded on a time and materials basis, there may be ongoing maintenance costs funded on a time and materials basis, when agreed to by the </w:t>
            </w:r>
            <w:r w:rsidR="008432E6" w:rsidRPr="00873992">
              <w:rPr>
                <w:rFonts w:cs="Arial"/>
              </w:rPr>
              <w:t xml:space="preserve">Partner, the Network Manager, and the NSRB. </w:t>
            </w:r>
          </w:p>
        </w:tc>
      </w:tr>
      <w:tr w:rsidR="0015078F" w:rsidRPr="00873992" w14:paraId="285ECBFF" w14:textId="77777777" w:rsidTr="0006541E">
        <w:tc>
          <w:tcPr>
            <w:tcW w:w="1067" w:type="dxa"/>
          </w:tcPr>
          <w:p w14:paraId="23FFBEF4" w14:textId="46B22345" w:rsidR="00327201" w:rsidRPr="00873992" w:rsidRDefault="00327201" w:rsidP="00327201">
            <w:pPr>
              <w:pStyle w:val="Level1Body"/>
              <w:jc w:val="left"/>
              <w:rPr>
                <w:rFonts w:cs="Arial"/>
              </w:rPr>
            </w:pPr>
            <w:r w:rsidRPr="00873992">
              <w:rPr>
                <w:rFonts w:cs="Arial"/>
              </w:rPr>
              <w:lastRenderedPageBreak/>
              <w:t>6.</w:t>
            </w:r>
          </w:p>
        </w:tc>
        <w:tc>
          <w:tcPr>
            <w:tcW w:w="1762" w:type="dxa"/>
          </w:tcPr>
          <w:p w14:paraId="254D60D2" w14:textId="31633F1E" w:rsidR="00327201" w:rsidRPr="00873992" w:rsidRDefault="00327201" w:rsidP="00327201">
            <w:pPr>
              <w:pStyle w:val="Level1Body"/>
              <w:jc w:val="left"/>
              <w:rPr>
                <w:rFonts w:cs="Arial"/>
              </w:rPr>
            </w:pPr>
            <w:r w:rsidRPr="00873992">
              <w:rPr>
                <w:rFonts w:cs="Arial"/>
              </w:rPr>
              <w:t>Appendix C Network Revenue and Transactions</w:t>
            </w:r>
          </w:p>
        </w:tc>
        <w:tc>
          <w:tcPr>
            <w:tcW w:w="1042" w:type="dxa"/>
          </w:tcPr>
          <w:p w14:paraId="24882B63" w14:textId="47792004" w:rsidR="00327201" w:rsidRPr="00873992" w:rsidRDefault="00327201" w:rsidP="00327201">
            <w:pPr>
              <w:pStyle w:val="Level1Body"/>
              <w:jc w:val="left"/>
              <w:rPr>
                <w:rFonts w:cs="Arial"/>
              </w:rPr>
            </w:pPr>
            <w:r w:rsidRPr="00873992">
              <w:rPr>
                <w:rFonts w:cs="Arial"/>
              </w:rPr>
              <w:t>N/A</w:t>
            </w:r>
          </w:p>
        </w:tc>
        <w:tc>
          <w:tcPr>
            <w:tcW w:w="2714" w:type="dxa"/>
          </w:tcPr>
          <w:p w14:paraId="16F5394D" w14:textId="0CCE0330" w:rsidR="00327201" w:rsidRPr="00873992" w:rsidRDefault="00327201" w:rsidP="00327201">
            <w:pPr>
              <w:pStyle w:val="Level1Body"/>
              <w:jc w:val="left"/>
              <w:rPr>
                <w:rFonts w:cs="Arial"/>
              </w:rPr>
            </w:pPr>
            <w:r w:rsidRPr="00873992">
              <w:rPr>
                <w:rFonts w:cs="Arial"/>
              </w:rPr>
              <w:t xml:space="preserve">The amount of Network revenue retained by the specific agency (i.e., Agency Share) is not indicated. Can the State provide an update to Appendix C (Network Revenue and Transactions) where this column has been inserted? </w:t>
            </w:r>
          </w:p>
        </w:tc>
        <w:tc>
          <w:tcPr>
            <w:tcW w:w="2765" w:type="dxa"/>
          </w:tcPr>
          <w:p w14:paraId="58A40BA0" w14:textId="050525F1" w:rsidR="00327201" w:rsidRPr="00873992" w:rsidRDefault="006E0BAE" w:rsidP="00DB73FF">
            <w:pPr>
              <w:pStyle w:val="Level1Body"/>
              <w:jc w:val="left"/>
              <w:rPr>
                <w:rFonts w:cs="Arial"/>
              </w:rPr>
            </w:pPr>
            <w:r w:rsidRPr="00873992">
              <w:rPr>
                <w:rFonts w:cs="Arial"/>
              </w:rPr>
              <w:t>Appendix C</w:t>
            </w:r>
            <w:r w:rsidR="009A3783" w:rsidRPr="00873992">
              <w:rPr>
                <w:rFonts w:cs="Arial"/>
              </w:rPr>
              <w:t xml:space="preserve"> to the RFP</w:t>
            </w:r>
            <w:r w:rsidRPr="00873992">
              <w:rPr>
                <w:rFonts w:cs="Arial"/>
              </w:rPr>
              <w:t>, as provided, shows</w:t>
            </w:r>
            <w:r w:rsidR="004A3979" w:rsidRPr="00873992">
              <w:rPr>
                <w:rFonts w:cs="Arial"/>
              </w:rPr>
              <w:t xml:space="preserve"> the </w:t>
            </w:r>
            <w:r w:rsidRPr="00873992">
              <w:rPr>
                <w:rFonts w:cs="Arial"/>
              </w:rPr>
              <w:t xml:space="preserve">Network </w:t>
            </w:r>
            <w:r w:rsidR="001908B0" w:rsidRPr="00873992">
              <w:rPr>
                <w:rFonts w:cs="Arial"/>
              </w:rPr>
              <w:t xml:space="preserve">Manager's </w:t>
            </w:r>
            <w:r w:rsidR="00E0079E" w:rsidRPr="00873992">
              <w:rPr>
                <w:rFonts w:cs="Arial"/>
              </w:rPr>
              <w:t>share of revenue</w:t>
            </w:r>
            <w:r w:rsidR="001908B0" w:rsidRPr="00873992">
              <w:rPr>
                <w:rFonts w:cs="Arial"/>
              </w:rPr>
              <w:t xml:space="preserve">. </w:t>
            </w:r>
            <w:r w:rsidRPr="00873992">
              <w:rPr>
                <w:rFonts w:cs="Arial"/>
              </w:rPr>
              <w:t xml:space="preserve">In most cases, </w:t>
            </w:r>
            <w:r w:rsidR="004A3979" w:rsidRPr="00873992">
              <w:rPr>
                <w:rFonts w:cs="Arial"/>
              </w:rPr>
              <w:t>Partners</w:t>
            </w:r>
            <w:r w:rsidRPr="00873992">
              <w:rPr>
                <w:rFonts w:cs="Arial"/>
              </w:rPr>
              <w:t xml:space="preserve"> receive </w:t>
            </w:r>
            <w:r w:rsidR="00471BD4" w:rsidRPr="00873992">
              <w:rPr>
                <w:rFonts w:cs="Arial"/>
              </w:rPr>
              <w:t>a</w:t>
            </w:r>
            <w:r w:rsidR="008432E6" w:rsidRPr="00873992">
              <w:rPr>
                <w:rFonts w:cs="Arial"/>
              </w:rPr>
              <w:t xml:space="preserve">n </w:t>
            </w:r>
            <w:r w:rsidRPr="00873992">
              <w:rPr>
                <w:rFonts w:cs="Arial"/>
              </w:rPr>
              <w:t>amount designated in statute</w:t>
            </w:r>
            <w:r w:rsidR="00C47B91" w:rsidRPr="00873992">
              <w:rPr>
                <w:rFonts w:cs="Arial"/>
              </w:rPr>
              <w:t xml:space="preserve"> to support their </w:t>
            </w:r>
            <w:r w:rsidR="009A3783" w:rsidRPr="00873992">
              <w:rPr>
                <w:rFonts w:cs="Arial"/>
              </w:rPr>
              <w:t>activities</w:t>
            </w:r>
            <w:r w:rsidR="00C47B91" w:rsidRPr="00873992">
              <w:rPr>
                <w:rFonts w:cs="Arial"/>
              </w:rPr>
              <w:t xml:space="preserve"> and operations</w:t>
            </w:r>
            <w:r w:rsidRPr="00873992">
              <w:rPr>
                <w:rFonts w:cs="Arial"/>
              </w:rPr>
              <w:t xml:space="preserve">. Portal </w:t>
            </w:r>
            <w:r w:rsidR="00471BD4" w:rsidRPr="00873992">
              <w:rPr>
                <w:rFonts w:cs="Arial"/>
              </w:rPr>
              <w:t>F</w:t>
            </w:r>
            <w:r w:rsidRPr="00873992">
              <w:rPr>
                <w:rFonts w:cs="Arial"/>
              </w:rPr>
              <w:t>ee</w:t>
            </w:r>
            <w:r w:rsidR="008432E6" w:rsidRPr="00873992">
              <w:rPr>
                <w:rFonts w:cs="Arial"/>
              </w:rPr>
              <w:t>s</w:t>
            </w:r>
            <w:r w:rsidRPr="00873992">
              <w:rPr>
                <w:rFonts w:cs="Arial"/>
              </w:rPr>
              <w:t xml:space="preserve"> </w:t>
            </w:r>
            <w:r w:rsidR="00471BD4" w:rsidRPr="00873992">
              <w:rPr>
                <w:rFonts w:cs="Arial"/>
              </w:rPr>
              <w:t>are</w:t>
            </w:r>
            <w:r w:rsidRPr="00873992">
              <w:rPr>
                <w:rFonts w:cs="Arial"/>
              </w:rPr>
              <w:t xml:space="preserve"> </w:t>
            </w:r>
            <w:r w:rsidR="00471BD4" w:rsidRPr="00873992">
              <w:rPr>
                <w:rFonts w:cs="Arial"/>
              </w:rPr>
              <w:t>separate fees</w:t>
            </w:r>
            <w:r w:rsidR="00C47B91" w:rsidRPr="00873992">
              <w:rPr>
                <w:rFonts w:cs="Arial"/>
              </w:rPr>
              <w:t xml:space="preserve"> established to support the operations of the Portal. </w:t>
            </w:r>
          </w:p>
        </w:tc>
      </w:tr>
      <w:tr w:rsidR="0015078F" w:rsidRPr="00873992" w14:paraId="0CEA49C0" w14:textId="77777777" w:rsidTr="0006541E">
        <w:tc>
          <w:tcPr>
            <w:tcW w:w="1067" w:type="dxa"/>
          </w:tcPr>
          <w:p w14:paraId="028A3848" w14:textId="7D86FA02" w:rsidR="00327201" w:rsidRPr="00873992" w:rsidRDefault="00327201" w:rsidP="00327201">
            <w:pPr>
              <w:pStyle w:val="Level1Body"/>
              <w:jc w:val="left"/>
              <w:rPr>
                <w:rFonts w:cs="Arial"/>
              </w:rPr>
            </w:pPr>
            <w:r w:rsidRPr="00873992">
              <w:rPr>
                <w:rFonts w:cs="Arial"/>
              </w:rPr>
              <w:t>7.</w:t>
            </w:r>
          </w:p>
        </w:tc>
        <w:tc>
          <w:tcPr>
            <w:tcW w:w="1762" w:type="dxa"/>
          </w:tcPr>
          <w:p w14:paraId="3C47D3F9" w14:textId="77777777" w:rsidR="00327201" w:rsidRPr="00873992" w:rsidRDefault="00327201" w:rsidP="00327201">
            <w:pPr>
              <w:jc w:val="left"/>
              <w:rPr>
                <w:rFonts w:cs="Arial"/>
                <w:color w:val="000000"/>
              </w:rPr>
            </w:pPr>
            <w:r w:rsidRPr="00873992">
              <w:rPr>
                <w:rFonts w:cs="Arial"/>
                <w:color w:val="000000"/>
              </w:rPr>
              <w:t>1 Final RFP</w:t>
            </w:r>
          </w:p>
          <w:p w14:paraId="0B9DCA2C" w14:textId="77777777" w:rsidR="00327201" w:rsidRPr="00873992" w:rsidRDefault="00327201" w:rsidP="00327201">
            <w:pPr>
              <w:pStyle w:val="Level1Body"/>
              <w:jc w:val="left"/>
              <w:rPr>
                <w:rFonts w:cs="Arial"/>
              </w:rPr>
            </w:pPr>
          </w:p>
        </w:tc>
        <w:tc>
          <w:tcPr>
            <w:tcW w:w="1042" w:type="dxa"/>
          </w:tcPr>
          <w:p w14:paraId="1E94F817" w14:textId="77777777" w:rsidR="00327201" w:rsidRPr="00873992" w:rsidRDefault="00327201" w:rsidP="00327201">
            <w:pPr>
              <w:jc w:val="left"/>
              <w:rPr>
                <w:rFonts w:cs="Arial"/>
                <w:color w:val="000000"/>
              </w:rPr>
            </w:pPr>
            <w:r w:rsidRPr="00873992">
              <w:rPr>
                <w:rFonts w:cs="Arial"/>
                <w:color w:val="000000"/>
              </w:rPr>
              <w:t>Pages 10, 16 and 22.</w:t>
            </w:r>
          </w:p>
          <w:p w14:paraId="3F61AD50" w14:textId="77777777" w:rsidR="00327201" w:rsidRPr="00873992" w:rsidRDefault="00327201" w:rsidP="00327201">
            <w:pPr>
              <w:pStyle w:val="Level1Body"/>
              <w:jc w:val="left"/>
              <w:rPr>
                <w:rFonts w:cs="Arial"/>
              </w:rPr>
            </w:pPr>
          </w:p>
        </w:tc>
        <w:tc>
          <w:tcPr>
            <w:tcW w:w="2714" w:type="dxa"/>
          </w:tcPr>
          <w:p w14:paraId="2142B0CB" w14:textId="606C701B" w:rsidR="00327201" w:rsidRPr="00873992" w:rsidRDefault="00327201" w:rsidP="00891CAE">
            <w:pPr>
              <w:jc w:val="left"/>
              <w:rPr>
                <w:rFonts w:cs="Arial"/>
                <w:color w:val="000000"/>
              </w:rPr>
            </w:pPr>
            <w:r w:rsidRPr="00873992">
              <w:rPr>
                <w:rFonts w:cs="Arial"/>
                <w:color w:val="000000"/>
              </w:rPr>
              <w:t>The RFP provides an Exception table for T&amp;Cs, Vendor Duties, and Payment. Can we use our own combined version/format of this, or does it need to be completed in the format provided to us?</w:t>
            </w:r>
          </w:p>
        </w:tc>
        <w:tc>
          <w:tcPr>
            <w:tcW w:w="2765" w:type="dxa"/>
          </w:tcPr>
          <w:p w14:paraId="16852507" w14:textId="71474711" w:rsidR="00327201" w:rsidRPr="00873992" w:rsidRDefault="00290882" w:rsidP="00DB73FF">
            <w:pPr>
              <w:pStyle w:val="Level1Body"/>
              <w:jc w:val="left"/>
              <w:rPr>
                <w:rFonts w:cs="Arial"/>
              </w:rPr>
            </w:pPr>
            <w:r w:rsidRPr="00873992">
              <w:rPr>
                <w:rFonts w:cs="Arial"/>
              </w:rPr>
              <w:t xml:space="preserve">See Page 10 of the RFP, the first paragraph of Section II, including numbers 1-3. A Bidder may provide responses in a separate attachment as long as the bidder provides the required information listed in 1-3 </w:t>
            </w:r>
            <w:r w:rsidR="00704485" w:rsidRPr="00873992">
              <w:rPr>
                <w:rFonts w:cs="Arial"/>
              </w:rPr>
              <w:t>of</w:t>
            </w:r>
            <w:r w:rsidRPr="00873992">
              <w:rPr>
                <w:rFonts w:cs="Arial"/>
              </w:rPr>
              <w:t xml:space="preserve"> the exceptions directions. </w:t>
            </w:r>
          </w:p>
        </w:tc>
      </w:tr>
      <w:tr w:rsidR="0015078F" w:rsidRPr="00873992" w14:paraId="60130AED" w14:textId="77777777" w:rsidTr="0006541E">
        <w:tc>
          <w:tcPr>
            <w:tcW w:w="1067" w:type="dxa"/>
          </w:tcPr>
          <w:p w14:paraId="52E17493" w14:textId="204A2B48" w:rsidR="00327201" w:rsidRPr="00873992" w:rsidRDefault="00327201" w:rsidP="00327201">
            <w:pPr>
              <w:pStyle w:val="Level1Body"/>
              <w:jc w:val="left"/>
              <w:rPr>
                <w:rFonts w:cs="Arial"/>
              </w:rPr>
            </w:pPr>
            <w:r w:rsidRPr="00873992">
              <w:rPr>
                <w:rFonts w:cs="Arial"/>
              </w:rPr>
              <w:t>8.</w:t>
            </w:r>
          </w:p>
        </w:tc>
        <w:tc>
          <w:tcPr>
            <w:tcW w:w="1762" w:type="dxa"/>
          </w:tcPr>
          <w:p w14:paraId="5D83EAF4" w14:textId="77777777" w:rsidR="00327201" w:rsidRPr="00873992" w:rsidRDefault="00327201" w:rsidP="00327201">
            <w:pPr>
              <w:jc w:val="left"/>
              <w:rPr>
                <w:rFonts w:cs="Arial"/>
                <w:color w:val="000000"/>
              </w:rPr>
            </w:pPr>
            <w:r w:rsidRPr="00873992">
              <w:rPr>
                <w:rFonts w:cs="Arial"/>
                <w:color w:val="000000"/>
              </w:rPr>
              <w:t>Scope of Work 1.C</w:t>
            </w:r>
          </w:p>
          <w:p w14:paraId="2E421055" w14:textId="77777777" w:rsidR="00327201" w:rsidRPr="00873992" w:rsidRDefault="00327201" w:rsidP="00327201">
            <w:pPr>
              <w:pStyle w:val="Level1Body"/>
              <w:jc w:val="left"/>
              <w:rPr>
                <w:rFonts w:cs="Arial"/>
              </w:rPr>
            </w:pPr>
          </w:p>
        </w:tc>
        <w:tc>
          <w:tcPr>
            <w:tcW w:w="1042" w:type="dxa"/>
          </w:tcPr>
          <w:p w14:paraId="346E35EE" w14:textId="77777777" w:rsidR="00327201" w:rsidRPr="00873992" w:rsidRDefault="00327201" w:rsidP="00327201">
            <w:pPr>
              <w:jc w:val="left"/>
              <w:rPr>
                <w:rFonts w:cs="Arial"/>
                <w:color w:val="000000"/>
              </w:rPr>
            </w:pPr>
            <w:r w:rsidRPr="00873992">
              <w:rPr>
                <w:rFonts w:cs="Arial"/>
                <w:color w:val="000000"/>
              </w:rPr>
              <w:t>28</w:t>
            </w:r>
          </w:p>
          <w:p w14:paraId="37795A0E" w14:textId="77777777" w:rsidR="00327201" w:rsidRPr="00873992" w:rsidRDefault="00327201" w:rsidP="00327201">
            <w:pPr>
              <w:pStyle w:val="Level1Body"/>
              <w:jc w:val="left"/>
              <w:rPr>
                <w:rFonts w:cs="Arial"/>
              </w:rPr>
            </w:pPr>
          </w:p>
        </w:tc>
        <w:tc>
          <w:tcPr>
            <w:tcW w:w="2714" w:type="dxa"/>
          </w:tcPr>
          <w:p w14:paraId="4580A85F" w14:textId="012E1872" w:rsidR="00327201" w:rsidRPr="00873992" w:rsidRDefault="00327201" w:rsidP="00891CAE">
            <w:pPr>
              <w:jc w:val="left"/>
              <w:rPr>
                <w:rFonts w:cs="Arial"/>
                <w:color w:val="000000"/>
              </w:rPr>
            </w:pPr>
            <w:r w:rsidRPr="00873992">
              <w:rPr>
                <w:rFonts w:cs="Arial"/>
                <w:color w:val="000000"/>
              </w:rPr>
              <w:t>Will there be a defined testing team from the customer side to sign off on testing validation?</w:t>
            </w:r>
          </w:p>
        </w:tc>
        <w:tc>
          <w:tcPr>
            <w:tcW w:w="2765" w:type="dxa"/>
          </w:tcPr>
          <w:p w14:paraId="73C823D1" w14:textId="572D632B" w:rsidR="00327201" w:rsidRPr="00873992" w:rsidRDefault="00327201" w:rsidP="00DB73FF">
            <w:pPr>
              <w:pStyle w:val="Level1Body"/>
              <w:jc w:val="left"/>
              <w:rPr>
                <w:rFonts w:cs="Arial"/>
              </w:rPr>
            </w:pPr>
            <w:r w:rsidRPr="00873992">
              <w:rPr>
                <w:rFonts w:cs="Arial"/>
              </w:rPr>
              <w:t>Yes</w:t>
            </w:r>
            <w:r w:rsidR="006E0BAE" w:rsidRPr="00873992">
              <w:rPr>
                <w:rFonts w:cs="Arial"/>
              </w:rPr>
              <w:t xml:space="preserve">, </w:t>
            </w:r>
            <w:r w:rsidR="00B5698B" w:rsidRPr="00873992">
              <w:rPr>
                <w:rFonts w:cs="Arial"/>
              </w:rPr>
              <w:t xml:space="preserve">Partners </w:t>
            </w:r>
            <w:r w:rsidR="006E0BAE" w:rsidRPr="00873992">
              <w:rPr>
                <w:rFonts w:cs="Arial"/>
              </w:rPr>
              <w:t xml:space="preserve">determine who the key participants in their projects </w:t>
            </w:r>
            <w:r w:rsidR="008432E6" w:rsidRPr="00873992">
              <w:rPr>
                <w:rFonts w:cs="Arial"/>
              </w:rPr>
              <w:t>are and</w:t>
            </w:r>
            <w:r w:rsidR="006E0BAE" w:rsidRPr="00873992">
              <w:rPr>
                <w:rFonts w:cs="Arial"/>
              </w:rPr>
              <w:t xml:space="preserve"> perform testing and sign-off on projects prior to launch. </w:t>
            </w:r>
          </w:p>
        </w:tc>
      </w:tr>
      <w:tr w:rsidR="0015078F" w:rsidRPr="00873992" w14:paraId="764180E3" w14:textId="77777777" w:rsidTr="0006541E">
        <w:tc>
          <w:tcPr>
            <w:tcW w:w="1067" w:type="dxa"/>
          </w:tcPr>
          <w:p w14:paraId="61970314" w14:textId="228949C1" w:rsidR="00327201" w:rsidRPr="00873992" w:rsidRDefault="00327201" w:rsidP="00327201">
            <w:pPr>
              <w:pStyle w:val="Level1Body"/>
              <w:jc w:val="left"/>
              <w:rPr>
                <w:rFonts w:cs="Arial"/>
              </w:rPr>
            </w:pPr>
            <w:r w:rsidRPr="00873992">
              <w:rPr>
                <w:rFonts w:cs="Arial"/>
              </w:rPr>
              <w:t>9.</w:t>
            </w:r>
          </w:p>
        </w:tc>
        <w:tc>
          <w:tcPr>
            <w:tcW w:w="1762" w:type="dxa"/>
          </w:tcPr>
          <w:p w14:paraId="5D6D6596" w14:textId="77777777" w:rsidR="00327201" w:rsidRPr="00873992" w:rsidRDefault="00327201" w:rsidP="00327201">
            <w:pPr>
              <w:jc w:val="left"/>
              <w:rPr>
                <w:rFonts w:cs="Arial"/>
                <w:color w:val="000000"/>
              </w:rPr>
            </w:pPr>
            <w:r w:rsidRPr="00873992">
              <w:rPr>
                <w:rFonts w:cs="Arial"/>
                <w:color w:val="000000"/>
              </w:rPr>
              <w:t>Scope of Work E.1.i</w:t>
            </w:r>
          </w:p>
          <w:p w14:paraId="795E126B" w14:textId="77777777" w:rsidR="00327201" w:rsidRPr="00873992" w:rsidRDefault="00327201" w:rsidP="00327201">
            <w:pPr>
              <w:pStyle w:val="Level1Body"/>
              <w:jc w:val="left"/>
              <w:rPr>
                <w:rFonts w:cs="Arial"/>
              </w:rPr>
            </w:pPr>
          </w:p>
        </w:tc>
        <w:tc>
          <w:tcPr>
            <w:tcW w:w="1042" w:type="dxa"/>
          </w:tcPr>
          <w:p w14:paraId="763031F4" w14:textId="77777777" w:rsidR="00327201" w:rsidRPr="00873992" w:rsidRDefault="00327201" w:rsidP="00327201">
            <w:pPr>
              <w:jc w:val="left"/>
              <w:rPr>
                <w:rFonts w:cs="Arial"/>
                <w:color w:val="000000"/>
              </w:rPr>
            </w:pPr>
            <w:r w:rsidRPr="00873992">
              <w:rPr>
                <w:rFonts w:cs="Arial"/>
                <w:color w:val="000000"/>
              </w:rPr>
              <w:t>29</w:t>
            </w:r>
          </w:p>
          <w:p w14:paraId="28F59240" w14:textId="77777777" w:rsidR="00327201" w:rsidRPr="00873992" w:rsidRDefault="00327201" w:rsidP="00327201">
            <w:pPr>
              <w:pStyle w:val="Level1Body"/>
              <w:jc w:val="left"/>
              <w:rPr>
                <w:rFonts w:cs="Arial"/>
              </w:rPr>
            </w:pPr>
          </w:p>
        </w:tc>
        <w:tc>
          <w:tcPr>
            <w:tcW w:w="2714" w:type="dxa"/>
          </w:tcPr>
          <w:p w14:paraId="6FF872FF" w14:textId="185EA008" w:rsidR="00327201" w:rsidRPr="00873992" w:rsidRDefault="00327201" w:rsidP="00891CAE">
            <w:pPr>
              <w:jc w:val="left"/>
              <w:rPr>
                <w:rFonts w:cs="Arial"/>
                <w:color w:val="000000"/>
              </w:rPr>
            </w:pPr>
            <w:r w:rsidRPr="00873992">
              <w:rPr>
                <w:rFonts w:cs="Arial"/>
                <w:color w:val="000000"/>
              </w:rPr>
              <w:t xml:space="preserve">With regards to the partner database references - will </w:t>
            </w:r>
            <w:proofErr w:type="spellStart"/>
            <w:r w:rsidRPr="00873992">
              <w:rPr>
                <w:rFonts w:cs="Arial"/>
                <w:color w:val="000000"/>
              </w:rPr>
              <w:t>the</w:t>
            </w:r>
            <w:proofErr w:type="spellEnd"/>
            <w:r w:rsidRPr="00873992">
              <w:rPr>
                <w:rFonts w:cs="Arial"/>
                <w:color w:val="000000"/>
              </w:rPr>
              <w:t xml:space="preserve"> be expected integrations that will require write access to these database for bi-directional integrations?</w:t>
            </w:r>
          </w:p>
        </w:tc>
        <w:tc>
          <w:tcPr>
            <w:tcW w:w="2765" w:type="dxa"/>
          </w:tcPr>
          <w:p w14:paraId="296080FF" w14:textId="4F0B40E2" w:rsidR="00327201" w:rsidRPr="00873992" w:rsidRDefault="008432E6" w:rsidP="00DB73FF">
            <w:pPr>
              <w:pStyle w:val="Level1Body"/>
              <w:jc w:val="left"/>
              <w:rPr>
                <w:rFonts w:cs="Arial"/>
              </w:rPr>
            </w:pPr>
            <w:r w:rsidRPr="00873992">
              <w:rPr>
                <w:rFonts w:cs="Arial"/>
              </w:rPr>
              <w:t xml:space="preserve">Yes.  The selected Vendor must be flexible in offering integration methods and middleware tools that are compatible with Partner software and Systems, acceptable to the Partner, and in compliance with NITC Standards.  </w:t>
            </w:r>
          </w:p>
        </w:tc>
      </w:tr>
      <w:tr w:rsidR="0015078F" w:rsidRPr="00873992" w14:paraId="3B406A19" w14:textId="77777777" w:rsidTr="0006541E">
        <w:tc>
          <w:tcPr>
            <w:tcW w:w="1067" w:type="dxa"/>
          </w:tcPr>
          <w:p w14:paraId="5167B2A4" w14:textId="1ADE34BD" w:rsidR="00327201" w:rsidRPr="00873992" w:rsidRDefault="00327201" w:rsidP="00327201">
            <w:pPr>
              <w:pStyle w:val="Level1Body"/>
              <w:jc w:val="left"/>
              <w:rPr>
                <w:rFonts w:cs="Arial"/>
              </w:rPr>
            </w:pPr>
            <w:r w:rsidRPr="00873992">
              <w:rPr>
                <w:rFonts w:cs="Arial"/>
              </w:rPr>
              <w:t>10</w:t>
            </w:r>
          </w:p>
        </w:tc>
        <w:tc>
          <w:tcPr>
            <w:tcW w:w="1762" w:type="dxa"/>
          </w:tcPr>
          <w:p w14:paraId="5E894EDC" w14:textId="77777777" w:rsidR="00327201" w:rsidRPr="00873992" w:rsidRDefault="00327201" w:rsidP="00327201">
            <w:pPr>
              <w:jc w:val="left"/>
              <w:rPr>
                <w:rFonts w:cs="Arial"/>
                <w:color w:val="000000"/>
              </w:rPr>
            </w:pPr>
            <w:r w:rsidRPr="00873992">
              <w:rPr>
                <w:rFonts w:cs="Arial"/>
                <w:color w:val="000000"/>
              </w:rPr>
              <w:t>Scope of Work E.1.v</w:t>
            </w:r>
          </w:p>
          <w:p w14:paraId="123D1D1D" w14:textId="77777777" w:rsidR="00327201" w:rsidRPr="00873992" w:rsidRDefault="00327201" w:rsidP="00327201">
            <w:pPr>
              <w:pStyle w:val="Level1Body"/>
              <w:jc w:val="left"/>
              <w:rPr>
                <w:rFonts w:cs="Arial"/>
              </w:rPr>
            </w:pPr>
          </w:p>
        </w:tc>
        <w:tc>
          <w:tcPr>
            <w:tcW w:w="1042" w:type="dxa"/>
          </w:tcPr>
          <w:p w14:paraId="4669596E" w14:textId="77777777" w:rsidR="00327201" w:rsidRPr="00873992" w:rsidRDefault="00327201" w:rsidP="00327201">
            <w:pPr>
              <w:jc w:val="left"/>
              <w:rPr>
                <w:rFonts w:cs="Arial"/>
                <w:color w:val="000000"/>
              </w:rPr>
            </w:pPr>
            <w:r w:rsidRPr="00873992">
              <w:rPr>
                <w:rFonts w:cs="Arial"/>
                <w:color w:val="000000"/>
              </w:rPr>
              <w:lastRenderedPageBreak/>
              <w:t>29</w:t>
            </w:r>
          </w:p>
          <w:p w14:paraId="4D92ABB7" w14:textId="77777777" w:rsidR="00327201" w:rsidRPr="00873992" w:rsidRDefault="00327201" w:rsidP="00327201">
            <w:pPr>
              <w:pStyle w:val="Level1Body"/>
              <w:jc w:val="left"/>
              <w:rPr>
                <w:rFonts w:cs="Arial"/>
              </w:rPr>
            </w:pPr>
          </w:p>
        </w:tc>
        <w:tc>
          <w:tcPr>
            <w:tcW w:w="2714" w:type="dxa"/>
          </w:tcPr>
          <w:p w14:paraId="235CA59C" w14:textId="6267B385" w:rsidR="00327201" w:rsidRPr="00873992" w:rsidRDefault="00327201" w:rsidP="00327201">
            <w:pPr>
              <w:jc w:val="left"/>
              <w:rPr>
                <w:rFonts w:cs="Arial"/>
                <w:color w:val="000000"/>
              </w:rPr>
            </w:pPr>
            <w:r w:rsidRPr="00873992">
              <w:rPr>
                <w:rFonts w:cs="Arial"/>
                <w:color w:val="000000"/>
              </w:rPr>
              <w:t>Will there be a prioritized set of multi-</w:t>
            </w:r>
            <w:r w:rsidRPr="00873992">
              <w:rPr>
                <w:rFonts w:cs="Arial"/>
                <w:color w:val="000000"/>
              </w:rPr>
              <w:lastRenderedPageBreak/>
              <w:t>lingual requirements by language?</w:t>
            </w:r>
          </w:p>
          <w:p w14:paraId="0ED25E94" w14:textId="77777777" w:rsidR="00327201" w:rsidRPr="00873992" w:rsidRDefault="00327201" w:rsidP="00327201">
            <w:pPr>
              <w:pStyle w:val="Level1Body"/>
              <w:jc w:val="left"/>
              <w:rPr>
                <w:rFonts w:cs="Arial"/>
              </w:rPr>
            </w:pPr>
          </w:p>
        </w:tc>
        <w:tc>
          <w:tcPr>
            <w:tcW w:w="2765" w:type="dxa"/>
          </w:tcPr>
          <w:p w14:paraId="3783181A" w14:textId="78103637" w:rsidR="00327201" w:rsidRPr="00873992" w:rsidRDefault="00B5698B" w:rsidP="00DB73FF">
            <w:pPr>
              <w:pStyle w:val="Level1Body"/>
              <w:jc w:val="left"/>
              <w:rPr>
                <w:rFonts w:cs="Arial"/>
              </w:rPr>
            </w:pPr>
            <w:r w:rsidRPr="00873992">
              <w:rPr>
                <w:rFonts w:cs="Arial"/>
              </w:rPr>
              <w:lastRenderedPageBreak/>
              <w:t xml:space="preserve">Services are developed as requested by Partners. Partners </w:t>
            </w:r>
            <w:r w:rsidRPr="00873992">
              <w:rPr>
                <w:rFonts w:cs="Arial"/>
              </w:rPr>
              <w:lastRenderedPageBreak/>
              <w:t xml:space="preserve">may require </w:t>
            </w:r>
            <w:r w:rsidR="0082047B" w:rsidRPr="00873992">
              <w:rPr>
                <w:rFonts w:cs="Arial"/>
              </w:rPr>
              <w:t xml:space="preserve">multiple </w:t>
            </w:r>
            <w:r w:rsidRPr="00873992">
              <w:rPr>
                <w:rFonts w:cs="Arial"/>
              </w:rPr>
              <w:t xml:space="preserve">languages as necessary to ensure meaningful access to services and programs. </w:t>
            </w:r>
          </w:p>
        </w:tc>
      </w:tr>
      <w:tr w:rsidR="0015078F" w:rsidRPr="00873992" w14:paraId="7FA0040F" w14:textId="77777777" w:rsidTr="0006541E">
        <w:tc>
          <w:tcPr>
            <w:tcW w:w="1067" w:type="dxa"/>
          </w:tcPr>
          <w:p w14:paraId="5CB2E330" w14:textId="537DD40A" w:rsidR="00327201" w:rsidRPr="00873992" w:rsidRDefault="00327201" w:rsidP="00327201">
            <w:pPr>
              <w:pStyle w:val="Level1Body"/>
              <w:jc w:val="left"/>
              <w:rPr>
                <w:rFonts w:cs="Arial"/>
              </w:rPr>
            </w:pPr>
            <w:r w:rsidRPr="00873992">
              <w:rPr>
                <w:rFonts w:cs="Arial"/>
              </w:rPr>
              <w:lastRenderedPageBreak/>
              <w:t>11.</w:t>
            </w:r>
          </w:p>
        </w:tc>
        <w:tc>
          <w:tcPr>
            <w:tcW w:w="1762" w:type="dxa"/>
          </w:tcPr>
          <w:p w14:paraId="4CD12CF4" w14:textId="77777777" w:rsidR="00327201" w:rsidRPr="00873992" w:rsidRDefault="00327201" w:rsidP="00327201">
            <w:pPr>
              <w:jc w:val="left"/>
              <w:rPr>
                <w:rFonts w:cs="Arial"/>
                <w:color w:val="000000"/>
              </w:rPr>
            </w:pPr>
            <w:r w:rsidRPr="00873992">
              <w:rPr>
                <w:rFonts w:cs="Arial"/>
                <w:color w:val="000000"/>
              </w:rPr>
              <w:t>Scope of Work K.9</w:t>
            </w:r>
          </w:p>
          <w:p w14:paraId="55C29AED" w14:textId="77777777" w:rsidR="00327201" w:rsidRPr="00873992" w:rsidRDefault="00327201" w:rsidP="00327201">
            <w:pPr>
              <w:pStyle w:val="Level1Body"/>
              <w:jc w:val="left"/>
              <w:rPr>
                <w:rFonts w:cs="Arial"/>
              </w:rPr>
            </w:pPr>
          </w:p>
        </w:tc>
        <w:tc>
          <w:tcPr>
            <w:tcW w:w="1042" w:type="dxa"/>
          </w:tcPr>
          <w:p w14:paraId="1E83285D" w14:textId="77777777" w:rsidR="00327201" w:rsidRPr="00873992" w:rsidRDefault="00327201" w:rsidP="00327201">
            <w:pPr>
              <w:jc w:val="left"/>
              <w:rPr>
                <w:rFonts w:cs="Arial"/>
                <w:color w:val="000000"/>
              </w:rPr>
            </w:pPr>
            <w:r w:rsidRPr="00873992">
              <w:rPr>
                <w:rFonts w:cs="Arial"/>
                <w:color w:val="000000"/>
              </w:rPr>
              <w:t>36</w:t>
            </w:r>
          </w:p>
          <w:p w14:paraId="25BE64EB" w14:textId="77777777" w:rsidR="00327201" w:rsidRPr="00873992" w:rsidRDefault="00327201" w:rsidP="00327201">
            <w:pPr>
              <w:pStyle w:val="Level1Body"/>
              <w:jc w:val="left"/>
              <w:rPr>
                <w:rFonts w:cs="Arial"/>
              </w:rPr>
            </w:pPr>
          </w:p>
        </w:tc>
        <w:tc>
          <w:tcPr>
            <w:tcW w:w="2714" w:type="dxa"/>
          </w:tcPr>
          <w:p w14:paraId="68F82039" w14:textId="77777777" w:rsidR="00327201" w:rsidRPr="00873992" w:rsidRDefault="00327201" w:rsidP="00327201">
            <w:pPr>
              <w:jc w:val="left"/>
              <w:rPr>
                <w:rFonts w:cs="Arial"/>
                <w:color w:val="000000"/>
              </w:rPr>
            </w:pPr>
            <w:r w:rsidRPr="00873992">
              <w:rPr>
                <w:rFonts w:cs="Arial"/>
                <w:color w:val="000000"/>
              </w:rPr>
              <w:t>Is there a date range for any historical data that is expected to be managed in the new solution?</w:t>
            </w:r>
          </w:p>
          <w:p w14:paraId="143257A7" w14:textId="77777777" w:rsidR="00327201" w:rsidRPr="00873992" w:rsidRDefault="00327201" w:rsidP="00327201">
            <w:pPr>
              <w:pStyle w:val="Level1Body"/>
              <w:jc w:val="left"/>
              <w:rPr>
                <w:rFonts w:cs="Arial"/>
              </w:rPr>
            </w:pPr>
          </w:p>
        </w:tc>
        <w:tc>
          <w:tcPr>
            <w:tcW w:w="2765" w:type="dxa"/>
          </w:tcPr>
          <w:p w14:paraId="6A5951B2" w14:textId="48F303B8" w:rsidR="00AA1AF0" w:rsidRPr="00873992" w:rsidRDefault="001D5E7B" w:rsidP="00DB73FF">
            <w:pPr>
              <w:pStyle w:val="Level1Body"/>
              <w:jc w:val="left"/>
              <w:rPr>
                <w:rFonts w:cs="Arial"/>
              </w:rPr>
            </w:pPr>
            <w:r w:rsidRPr="00873992">
              <w:rPr>
                <w:rFonts w:cs="Arial"/>
              </w:rPr>
              <w:t xml:space="preserve">Generally, </w:t>
            </w:r>
            <w:r w:rsidR="00BF4769" w:rsidRPr="00873992">
              <w:rPr>
                <w:rFonts w:cs="Arial"/>
              </w:rPr>
              <w:t>the Portal is not the ultimate database of record for the Partner</w:t>
            </w:r>
            <w:r w:rsidRPr="00873992">
              <w:rPr>
                <w:rFonts w:cs="Arial"/>
              </w:rPr>
              <w:t>’s</w:t>
            </w:r>
            <w:r w:rsidR="00BF4769" w:rsidRPr="00873992">
              <w:rPr>
                <w:rFonts w:cs="Arial"/>
              </w:rPr>
              <w:t xml:space="preserve"> records. </w:t>
            </w:r>
            <w:r w:rsidRPr="00873992">
              <w:rPr>
                <w:rFonts w:cs="Arial"/>
              </w:rPr>
              <w:t>However, i</w:t>
            </w:r>
            <w:r w:rsidR="00BF4769" w:rsidRPr="00873992">
              <w:rPr>
                <w:rFonts w:cs="Arial"/>
              </w:rPr>
              <w:t>t is likely that some data will need to be migrated</w:t>
            </w:r>
            <w:r w:rsidRPr="00873992">
              <w:rPr>
                <w:rFonts w:cs="Arial"/>
              </w:rPr>
              <w:t xml:space="preserve"> to maintain continuity of operations and application function</w:t>
            </w:r>
            <w:r w:rsidR="00BF4769" w:rsidRPr="00873992">
              <w:rPr>
                <w:rFonts w:cs="Arial"/>
              </w:rPr>
              <w:t xml:space="preserve">. The Network Manager will work with Partners to identify any data that will need to be migrated and managed as part of the transition planning and process.    </w:t>
            </w:r>
          </w:p>
        </w:tc>
      </w:tr>
      <w:tr w:rsidR="0015078F" w:rsidRPr="00873992" w14:paraId="5647C796" w14:textId="77777777" w:rsidTr="0006541E">
        <w:tc>
          <w:tcPr>
            <w:tcW w:w="1067" w:type="dxa"/>
          </w:tcPr>
          <w:p w14:paraId="2DDA5959" w14:textId="389BD630" w:rsidR="00327201" w:rsidRPr="00873992" w:rsidRDefault="00327201" w:rsidP="00327201">
            <w:pPr>
              <w:pStyle w:val="Level1Body"/>
              <w:jc w:val="left"/>
              <w:rPr>
                <w:rFonts w:cs="Arial"/>
              </w:rPr>
            </w:pPr>
            <w:r w:rsidRPr="00873992">
              <w:rPr>
                <w:rFonts w:cs="Arial"/>
              </w:rPr>
              <w:t>12.</w:t>
            </w:r>
          </w:p>
        </w:tc>
        <w:tc>
          <w:tcPr>
            <w:tcW w:w="1762" w:type="dxa"/>
          </w:tcPr>
          <w:p w14:paraId="74A2FB4E" w14:textId="77777777" w:rsidR="00327201" w:rsidRPr="00873992" w:rsidRDefault="00327201" w:rsidP="00327201">
            <w:pPr>
              <w:jc w:val="left"/>
              <w:rPr>
                <w:rFonts w:cs="Arial"/>
                <w:color w:val="000000"/>
              </w:rPr>
            </w:pPr>
            <w:r w:rsidRPr="00873992">
              <w:rPr>
                <w:rFonts w:cs="Arial"/>
                <w:color w:val="000000"/>
              </w:rPr>
              <w:t>1 RFP FINAL</w:t>
            </w:r>
          </w:p>
          <w:p w14:paraId="2CA280E7" w14:textId="77777777" w:rsidR="00327201" w:rsidRPr="00873992" w:rsidRDefault="00327201" w:rsidP="00327201">
            <w:pPr>
              <w:pStyle w:val="Level1Body"/>
              <w:jc w:val="left"/>
              <w:rPr>
                <w:rFonts w:cs="Arial"/>
              </w:rPr>
            </w:pPr>
          </w:p>
        </w:tc>
        <w:tc>
          <w:tcPr>
            <w:tcW w:w="1042" w:type="dxa"/>
          </w:tcPr>
          <w:p w14:paraId="5B6DAF6F" w14:textId="77777777" w:rsidR="00327201" w:rsidRPr="00873992" w:rsidRDefault="00327201" w:rsidP="00327201">
            <w:pPr>
              <w:jc w:val="left"/>
              <w:rPr>
                <w:rFonts w:cs="Arial"/>
                <w:color w:val="000000"/>
              </w:rPr>
            </w:pPr>
            <w:r w:rsidRPr="00873992">
              <w:rPr>
                <w:rFonts w:cs="Arial"/>
                <w:color w:val="000000"/>
              </w:rPr>
              <w:t>35</w:t>
            </w:r>
          </w:p>
          <w:p w14:paraId="7137E206" w14:textId="77777777" w:rsidR="00327201" w:rsidRPr="00873992" w:rsidRDefault="00327201" w:rsidP="00327201">
            <w:pPr>
              <w:pStyle w:val="Level1Body"/>
              <w:jc w:val="left"/>
              <w:rPr>
                <w:rFonts w:cs="Arial"/>
              </w:rPr>
            </w:pPr>
          </w:p>
        </w:tc>
        <w:tc>
          <w:tcPr>
            <w:tcW w:w="2714" w:type="dxa"/>
          </w:tcPr>
          <w:p w14:paraId="6AD26312" w14:textId="77777777" w:rsidR="00327201" w:rsidRPr="00873992" w:rsidRDefault="00327201" w:rsidP="00327201">
            <w:pPr>
              <w:jc w:val="left"/>
              <w:rPr>
                <w:rFonts w:cs="Arial"/>
                <w:color w:val="000000"/>
              </w:rPr>
            </w:pPr>
            <w:r w:rsidRPr="00873992">
              <w:rPr>
                <w:rFonts w:cs="Arial"/>
                <w:color w:val="000000"/>
              </w:rPr>
              <w:t>Will the NE Dept of Administrative Services relax the mandatory SLA requirement of ~99.87 uptime?</w:t>
            </w:r>
          </w:p>
          <w:p w14:paraId="07E704A8" w14:textId="77777777" w:rsidR="00327201" w:rsidRPr="00873992" w:rsidRDefault="00327201" w:rsidP="00327201">
            <w:pPr>
              <w:pStyle w:val="Level1Body"/>
              <w:jc w:val="left"/>
              <w:rPr>
                <w:rFonts w:cs="Arial"/>
              </w:rPr>
            </w:pPr>
          </w:p>
        </w:tc>
        <w:tc>
          <w:tcPr>
            <w:tcW w:w="2765" w:type="dxa"/>
          </w:tcPr>
          <w:p w14:paraId="44AA59E7" w14:textId="3B159979" w:rsidR="00172A08" w:rsidRPr="00873992" w:rsidRDefault="0095751A" w:rsidP="00DB73FF">
            <w:pPr>
              <w:pStyle w:val="Level1Body"/>
              <w:jc w:val="left"/>
              <w:rPr>
                <w:rFonts w:cs="Arial"/>
              </w:rPr>
            </w:pPr>
            <w:r w:rsidRPr="00873992">
              <w:rPr>
                <w:rFonts w:cs="Arial"/>
              </w:rPr>
              <w:t xml:space="preserve">Bidders should provide a solution that meets the requirements of the RFP.  </w:t>
            </w:r>
            <w:r w:rsidR="002C132D" w:rsidRPr="00873992">
              <w:rPr>
                <w:rFonts w:cs="Arial"/>
              </w:rPr>
              <w:t xml:space="preserve">The RFP requires </w:t>
            </w:r>
            <w:r w:rsidR="007C5018" w:rsidRPr="00873992">
              <w:rPr>
                <w:rFonts w:cs="Arial"/>
              </w:rPr>
              <w:t xml:space="preserve">all sites to be </w:t>
            </w:r>
            <w:r w:rsidR="002C132D" w:rsidRPr="00873992">
              <w:rPr>
                <w:rFonts w:cs="Arial"/>
              </w:rPr>
              <w:t xml:space="preserve">Tier IV </w:t>
            </w:r>
            <w:r w:rsidR="007C5018" w:rsidRPr="00873992">
              <w:rPr>
                <w:rFonts w:cs="Arial"/>
              </w:rPr>
              <w:t>under the guidelines set fort</w:t>
            </w:r>
            <w:r w:rsidR="00BD6F31" w:rsidRPr="00873992">
              <w:rPr>
                <w:rFonts w:cs="Arial"/>
              </w:rPr>
              <w:t>h</w:t>
            </w:r>
            <w:r w:rsidR="007C5018" w:rsidRPr="00873992">
              <w:rPr>
                <w:rFonts w:cs="Arial"/>
              </w:rPr>
              <w:t xml:space="preserve"> by the National Uptime Institute.</w:t>
            </w:r>
            <w:r w:rsidR="000B5788" w:rsidRPr="00873992">
              <w:rPr>
                <w:rFonts w:cs="Arial"/>
              </w:rPr>
              <w:t xml:space="preserve">  Bidder should submit with their solicitation any service level agreement or similar documents that the bidder wants incorporated in the Contract</w:t>
            </w:r>
            <w:r w:rsidR="00E53999" w:rsidRPr="00873992">
              <w:rPr>
                <w:rFonts w:cs="Arial"/>
              </w:rPr>
              <w:t xml:space="preserve"> for consideration</w:t>
            </w:r>
            <w:r w:rsidR="000B5788" w:rsidRPr="00873992">
              <w:rPr>
                <w:rFonts w:cs="Arial"/>
              </w:rPr>
              <w:t>.</w:t>
            </w:r>
            <w:r w:rsidR="007C5018" w:rsidRPr="00873992">
              <w:rPr>
                <w:rFonts w:cs="Arial"/>
              </w:rPr>
              <w:t xml:space="preserve">  </w:t>
            </w:r>
          </w:p>
        </w:tc>
      </w:tr>
      <w:tr w:rsidR="0015078F" w:rsidRPr="00873992" w14:paraId="3D7D336C" w14:textId="77777777" w:rsidTr="0006541E">
        <w:tc>
          <w:tcPr>
            <w:tcW w:w="1067" w:type="dxa"/>
          </w:tcPr>
          <w:p w14:paraId="29AC466D" w14:textId="05C57D23" w:rsidR="00327201" w:rsidRPr="00873992" w:rsidRDefault="00327201" w:rsidP="00327201">
            <w:pPr>
              <w:pStyle w:val="Level1Body"/>
              <w:jc w:val="left"/>
              <w:rPr>
                <w:rFonts w:cs="Arial"/>
              </w:rPr>
            </w:pPr>
            <w:r w:rsidRPr="00873992">
              <w:rPr>
                <w:rFonts w:cs="Arial"/>
              </w:rPr>
              <w:t>13.</w:t>
            </w:r>
          </w:p>
        </w:tc>
        <w:tc>
          <w:tcPr>
            <w:tcW w:w="1762" w:type="dxa"/>
          </w:tcPr>
          <w:p w14:paraId="3D816046" w14:textId="77777777" w:rsidR="00327201" w:rsidRPr="00873992" w:rsidRDefault="00327201" w:rsidP="00327201">
            <w:pPr>
              <w:jc w:val="left"/>
              <w:rPr>
                <w:rFonts w:cs="Arial"/>
                <w:color w:val="000000"/>
              </w:rPr>
            </w:pPr>
            <w:r w:rsidRPr="00873992">
              <w:rPr>
                <w:rFonts w:cs="Arial"/>
                <w:color w:val="000000"/>
              </w:rPr>
              <w:t>Solicitation Addendum Two Issued on 9/10/25</w:t>
            </w:r>
          </w:p>
          <w:p w14:paraId="51168BD4" w14:textId="77777777" w:rsidR="00327201" w:rsidRPr="00873992" w:rsidRDefault="00327201" w:rsidP="00327201">
            <w:pPr>
              <w:pStyle w:val="Level1Body"/>
              <w:jc w:val="left"/>
              <w:rPr>
                <w:rFonts w:cs="Arial"/>
              </w:rPr>
            </w:pPr>
          </w:p>
        </w:tc>
        <w:tc>
          <w:tcPr>
            <w:tcW w:w="1042" w:type="dxa"/>
          </w:tcPr>
          <w:p w14:paraId="07944C96" w14:textId="77777777" w:rsidR="00327201" w:rsidRPr="00873992" w:rsidRDefault="00327201" w:rsidP="00327201">
            <w:pPr>
              <w:jc w:val="left"/>
              <w:rPr>
                <w:rFonts w:cs="Arial"/>
                <w:color w:val="000000"/>
              </w:rPr>
            </w:pPr>
            <w:r w:rsidRPr="00873992">
              <w:rPr>
                <w:rFonts w:cs="Arial"/>
                <w:color w:val="000000"/>
              </w:rPr>
              <w:t>3</w:t>
            </w:r>
          </w:p>
          <w:p w14:paraId="68FF21C0" w14:textId="77777777" w:rsidR="00327201" w:rsidRPr="00873992" w:rsidRDefault="00327201" w:rsidP="00327201">
            <w:pPr>
              <w:pStyle w:val="Level1Body"/>
              <w:jc w:val="left"/>
              <w:rPr>
                <w:rFonts w:cs="Arial"/>
              </w:rPr>
            </w:pPr>
          </w:p>
        </w:tc>
        <w:tc>
          <w:tcPr>
            <w:tcW w:w="2714" w:type="dxa"/>
          </w:tcPr>
          <w:p w14:paraId="1EBEA582" w14:textId="46AD77D8" w:rsidR="00327201" w:rsidRPr="00873992" w:rsidRDefault="00327201" w:rsidP="00891CAE">
            <w:pPr>
              <w:jc w:val="left"/>
              <w:rPr>
                <w:rFonts w:cs="Arial"/>
                <w:color w:val="000000"/>
              </w:rPr>
            </w:pPr>
            <w:r w:rsidRPr="00873992">
              <w:rPr>
                <w:rFonts w:cs="Arial"/>
                <w:color w:val="000000"/>
              </w:rPr>
              <w:t>Line 7 of the Solicitation Addendum, posted on September 10th, states that a $15,000,000 cyber liability is required. Will your organization accept insurance coverages that do not meet the specified coverage limits?</w:t>
            </w:r>
          </w:p>
        </w:tc>
        <w:tc>
          <w:tcPr>
            <w:tcW w:w="2765" w:type="dxa"/>
          </w:tcPr>
          <w:p w14:paraId="12E02F24" w14:textId="73BA1F1E" w:rsidR="00327201" w:rsidRPr="00873992" w:rsidRDefault="008D6F71" w:rsidP="00DB73FF">
            <w:pPr>
              <w:pStyle w:val="Level1Body"/>
              <w:jc w:val="left"/>
              <w:rPr>
                <w:rFonts w:cs="Arial"/>
              </w:rPr>
            </w:pPr>
            <w:r w:rsidRPr="00873992">
              <w:rPr>
                <w:rFonts w:cs="Arial"/>
              </w:rPr>
              <w:t xml:space="preserve">As provided in </w:t>
            </w:r>
            <w:r w:rsidR="009A3783" w:rsidRPr="00873992">
              <w:rPr>
                <w:rFonts w:cs="Arial"/>
              </w:rPr>
              <w:t xml:space="preserve">Section </w:t>
            </w:r>
            <w:r w:rsidRPr="00873992">
              <w:rPr>
                <w:rFonts w:cs="Arial"/>
              </w:rPr>
              <w:t>III.J.</w:t>
            </w:r>
            <w:r w:rsidR="0095751A" w:rsidRPr="00873992">
              <w:rPr>
                <w:rFonts w:cs="Arial"/>
              </w:rPr>
              <w:t xml:space="preserve"> </w:t>
            </w:r>
            <w:r w:rsidRPr="00873992">
              <w:rPr>
                <w:rFonts w:cs="Arial"/>
              </w:rPr>
              <w:t xml:space="preserve">of the </w:t>
            </w:r>
            <w:r w:rsidR="0095751A" w:rsidRPr="00873992">
              <w:rPr>
                <w:rFonts w:cs="Arial"/>
              </w:rPr>
              <w:t>RFP</w:t>
            </w:r>
            <w:r w:rsidRPr="00873992">
              <w:rPr>
                <w:rFonts w:cs="Arial"/>
              </w:rPr>
              <w:t>, $15,000,000 in cyber liability insurance is required.</w:t>
            </w:r>
            <w:r w:rsidR="0095751A" w:rsidRPr="00873992">
              <w:rPr>
                <w:rFonts w:cs="Arial"/>
              </w:rPr>
              <w:t xml:space="preserve">  </w:t>
            </w:r>
            <w:r w:rsidRPr="00873992">
              <w:rPr>
                <w:rFonts w:cs="Arial"/>
              </w:rPr>
              <w:t xml:space="preserve"> The insurance requirements are subject to limited negotiation. Negotiation typically includes, but is not necessarily limited to, the correct type of coverage, necessity for Workers’ Compensation, and the type of automobile coverage carried by the Vendor.</w:t>
            </w:r>
          </w:p>
        </w:tc>
      </w:tr>
      <w:tr w:rsidR="0015078F" w:rsidRPr="00873992" w14:paraId="23621F39" w14:textId="77777777" w:rsidTr="0006541E">
        <w:tc>
          <w:tcPr>
            <w:tcW w:w="1067" w:type="dxa"/>
          </w:tcPr>
          <w:p w14:paraId="58014C52" w14:textId="2A5C6CE3" w:rsidR="00327201" w:rsidRPr="00873992" w:rsidRDefault="00327201" w:rsidP="00327201">
            <w:pPr>
              <w:pStyle w:val="Level1Body"/>
              <w:jc w:val="left"/>
              <w:rPr>
                <w:rFonts w:cs="Arial"/>
              </w:rPr>
            </w:pPr>
            <w:r w:rsidRPr="00873992">
              <w:rPr>
                <w:rFonts w:cs="Arial"/>
              </w:rPr>
              <w:t>14.</w:t>
            </w:r>
          </w:p>
        </w:tc>
        <w:tc>
          <w:tcPr>
            <w:tcW w:w="1762" w:type="dxa"/>
          </w:tcPr>
          <w:p w14:paraId="44D9C65F" w14:textId="0CB45D4A" w:rsidR="00327201" w:rsidRPr="00873992" w:rsidRDefault="00327201" w:rsidP="00327201">
            <w:pPr>
              <w:pStyle w:val="Level1Body"/>
              <w:jc w:val="left"/>
              <w:rPr>
                <w:rFonts w:cs="Arial"/>
              </w:rPr>
            </w:pPr>
            <w:r w:rsidRPr="00873992">
              <w:rPr>
                <w:rFonts w:cs="Arial"/>
              </w:rPr>
              <w:t>Appendix A</w:t>
            </w:r>
          </w:p>
        </w:tc>
        <w:tc>
          <w:tcPr>
            <w:tcW w:w="1042" w:type="dxa"/>
          </w:tcPr>
          <w:p w14:paraId="719C0985" w14:textId="7E6B8F3C" w:rsidR="00327201" w:rsidRPr="00873992" w:rsidRDefault="00327201" w:rsidP="00327201">
            <w:pPr>
              <w:pStyle w:val="Level1Body"/>
              <w:jc w:val="left"/>
              <w:rPr>
                <w:rFonts w:cs="Arial"/>
              </w:rPr>
            </w:pPr>
            <w:r w:rsidRPr="00873992">
              <w:rPr>
                <w:rFonts w:cs="Arial"/>
              </w:rPr>
              <w:t>N/A</w:t>
            </w:r>
          </w:p>
        </w:tc>
        <w:tc>
          <w:tcPr>
            <w:tcW w:w="2714" w:type="dxa"/>
          </w:tcPr>
          <w:p w14:paraId="0A261973" w14:textId="7F62E934" w:rsidR="00327201" w:rsidRPr="00873992" w:rsidRDefault="00327201" w:rsidP="00327201">
            <w:pPr>
              <w:pStyle w:val="Level1Body"/>
              <w:jc w:val="left"/>
              <w:rPr>
                <w:rFonts w:cs="Arial"/>
              </w:rPr>
            </w:pPr>
            <w:r w:rsidRPr="00873992">
              <w:rPr>
                <w:rFonts w:cs="Arial"/>
              </w:rPr>
              <w:t>Many unique applications require a username/password to log in. Would you be able to provide details on the nature of these applications? Would we be able to receive more comprehensive technical documentation on these unique applications?</w:t>
            </w:r>
          </w:p>
        </w:tc>
        <w:tc>
          <w:tcPr>
            <w:tcW w:w="2765" w:type="dxa"/>
          </w:tcPr>
          <w:p w14:paraId="72AAF411" w14:textId="3F3B4FF9" w:rsidR="00327201" w:rsidRPr="00873992" w:rsidRDefault="007841AB" w:rsidP="00DB73FF">
            <w:pPr>
              <w:pStyle w:val="Level1Body"/>
              <w:jc w:val="left"/>
              <w:rPr>
                <w:rFonts w:cs="Arial"/>
              </w:rPr>
            </w:pPr>
            <w:r w:rsidRPr="00873992">
              <w:rPr>
                <w:rFonts w:cs="Arial"/>
              </w:rPr>
              <w:t xml:space="preserve">Bidder should review Appendix A. Clicking on the links provided may prompt for </w:t>
            </w:r>
            <w:r w:rsidR="00704485" w:rsidRPr="00873992">
              <w:rPr>
                <w:rFonts w:cs="Arial"/>
              </w:rPr>
              <w:t>login</w:t>
            </w:r>
            <w:r w:rsidRPr="00873992">
              <w:rPr>
                <w:rFonts w:cs="Arial"/>
              </w:rPr>
              <w:t xml:space="preserve"> information. </w:t>
            </w:r>
            <w:r w:rsidR="00821040" w:rsidRPr="00873992">
              <w:rPr>
                <w:rFonts w:cs="Arial"/>
              </w:rPr>
              <w:t xml:space="preserve"> Available documentation will be provided to the selected Vendor as part of the transition process.</w:t>
            </w:r>
          </w:p>
        </w:tc>
      </w:tr>
      <w:tr w:rsidR="0015078F" w:rsidRPr="00873992" w14:paraId="13F255A7" w14:textId="77777777" w:rsidTr="0006541E">
        <w:tc>
          <w:tcPr>
            <w:tcW w:w="1067" w:type="dxa"/>
          </w:tcPr>
          <w:p w14:paraId="3BA09E0D" w14:textId="10A79CBB" w:rsidR="00327201" w:rsidRPr="00873992" w:rsidRDefault="00327201" w:rsidP="00327201">
            <w:pPr>
              <w:pStyle w:val="Level1Body"/>
              <w:jc w:val="left"/>
              <w:rPr>
                <w:rFonts w:cs="Arial"/>
              </w:rPr>
            </w:pPr>
            <w:r w:rsidRPr="00873992">
              <w:rPr>
                <w:rFonts w:cs="Arial"/>
              </w:rPr>
              <w:t>15.</w:t>
            </w:r>
          </w:p>
        </w:tc>
        <w:tc>
          <w:tcPr>
            <w:tcW w:w="1762" w:type="dxa"/>
          </w:tcPr>
          <w:p w14:paraId="1BDC357D" w14:textId="0C5884B7" w:rsidR="00327201" w:rsidRPr="00873992" w:rsidRDefault="00327201" w:rsidP="00327201">
            <w:pPr>
              <w:pStyle w:val="Level1Body"/>
              <w:jc w:val="left"/>
              <w:rPr>
                <w:rFonts w:cs="Arial"/>
              </w:rPr>
            </w:pPr>
            <w:r w:rsidRPr="00873992">
              <w:rPr>
                <w:rFonts w:cs="Arial"/>
              </w:rPr>
              <w:t>SOLICITATION ADDENDUM TWO 9.10 FINAL</w:t>
            </w:r>
          </w:p>
        </w:tc>
        <w:tc>
          <w:tcPr>
            <w:tcW w:w="1042" w:type="dxa"/>
          </w:tcPr>
          <w:p w14:paraId="69FCAAF0" w14:textId="3AE8177A" w:rsidR="00327201" w:rsidRPr="00873992" w:rsidRDefault="00327201" w:rsidP="00327201">
            <w:pPr>
              <w:pStyle w:val="Level1Body"/>
              <w:jc w:val="left"/>
              <w:rPr>
                <w:rFonts w:cs="Arial"/>
              </w:rPr>
            </w:pPr>
            <w:r w:rsidRPr="00873992">
              <w:rPr>
                <w:rFonts w:cs="Arial"/>
              </w:rPr>
              <w:t>10</w:t>
            </w:r>
          </w:p>
        </w:tc>
        <w:tc>
          <w:tcPr>
            <w:tcW w:w="2714" w:type="dxa"/>
          </w:tcPr>
          <w:p w14:paraId="1D36B1AD" w14:textId="74D98998" w:rsidR="00327201" w:rsidRPr="00873992" w:rsidRDefault="00327201" w:rsidP="00327201">
            <w:pPr>
              <w:pStyle w:val="Level1Body"/>
              <w:jc w:val="left"/>
              <w:rPr>
                <w:rFonts w:cs="Arial"/>
              </w:rPr>
            </w:pPr>
            <w:r w:rsidRPr="00873992">
              <w:rPr>
                <w:rFonts w:cs="Arial"/>
              </w:rPr>
              <w:t xml:space="preserve">The answer to Question 34 states, “Some Applications are on proprietary low-code/no-code </w:t>
            </w:r>
            <w:r w:rsidRPr="00873992">
              <w:rPr>
                <w:rFonts w:cs="Arial"/>
              </w:rPr>
              <w:lastRenderedPageBreak/>
              <w:t xml:space="preserve">platforms and will likely need to be </w:t>
            </w:r>
            <w:proofErr w:type="spellStart"/>
            <w:r w:rsidRPr="00873992">
              <w:rPr>
                <w:rFonts w:cs="Arial"/>
              </w:rPr>
              <w:t>replatformed</w:t>
            </w:r>
            <w:proofErr w:type="spellEnd"/>
            <w:r w:rsidRPr="00873992">
              <w:rPr>
                <w:rFonts w:cs="Arial"/>
              </w:rPr>
              <w:t xml:space="preserve"> or custom built.” Can you provide a rough order of magnitude (and ideally a list) of the applications that are considered proprietary and will require </w:t>
            </w:r>
            <w:proofErr w:type="spellStart"/>
            <w:r w:rsidRPr="00873992">
              <w:rPr>
                <w:rFonts w:cs="Arial"/>
              </w:rPr>
              <w:t>replatforming</w:t>
            </w:r>
            <w:proofErr w:type="spellEnd"/>
            <w:r w:rsidRPr="00873992">
              <w:rPr>
                <w:rFonts w:cs="Arial"/>
              </w:rPr>
              <w:t xml:space="preserve"> or rebuilding? Without this information, providing accurate pricing and transition timelines may prove impossible.</w:t>
            </w:r>
          </w:p>
        </w:tc>
        <w:tc>
          <w:tcPr>
            <w:tcW w:w="2765" w:type="dxa"/>
          </w:tcPr>
          <w:p w14:paraId="564AF052" w14:textId="06A381AE" w:rsidR="00327201" w:rsidRPr="00873992" w:rsidRDefault="00C62FC7" w:rsidP="00DB73FF">
            <w:pPr>
              <w:pStyle w:val="Level1Body"/>
              <w:jc w:val="left"/>
              <w:rPr>
                <w:rFonts w:cs="Arial"/>
              </w:rPr>
            </w:pPr>
            <w:r w:rsidRPr="00873992">
              <w:rPr>
                <w:rFonts w:cs="Arial"/>
              </w:rPr>
              <w:lastRenderedPageBreak/>
              <w:t>A</w:t>
            </w:r>
            <w:r w:rsidR="00692848" w:rsidRPr="00873992">
              <w:rPr>
                <w:rFonts w:cs="Arial"/>
              </w:rPr>
              <w:t>ll applications and websites listed in Appendices A and B may need to be rebuilt</w:t>
            </w:r>
            <w:r w:rsidRPr="00873992">
              <w:rPr>
                <w:rFonts w:cs="Arial"/>
              </w:rPr>
              <w:t xml:space="preserve">, </w:t>
            </w:r>
            <w:proofErr w:type="spellStart"/>
            <w:r w:rsidR="00692848" w:rsidRPr="00873992">
              <w:rPr>
                <w:rFonts w:cs="Arial"/>
              </w:rPr>
              <w:t>replatformed</w:t>
            </w:r>
            <w:proofErr w:type="spellEnd"/>
            <w:r w:rsidRPr="00873992">
              <w:rPr>
                <w:rFonts w:cs="Arial"/>
              </w:rPr>
              <w:t xml:space="preserve">, or </w:t>
            </w:r>
            <w:r w:rsidR="00C2414E" w:rsidRPr="00873992">
              <w:rPr>
                <w:rFonts w:cs="Arial"/>
              </w:rPr>
              <w:t>integrated with</w:t>
            </w:r>
            <w:r w:rsidRPr="00873992">
              <w:rPr>
                <w:rFonts w:cs="Arial"/>
              </w:rPr>
              <w:t xml:space="preserve"> an alternate service provider (e.g. payment processing)</w:t>
            </w:r>
            <w:r w:rsidR="00692848" w:rsidRPr="00873992">
              <w:rPr>
                <w:rFonts w:cs="Arial"/>
              </w:rPr>
              <w:t xml:space="preserve">.  </w:t>
            </w:r>
            <w:r w:rsidR="00692848" w:rsidRPr="00873992">
              <w:rPr>
                <w:rFonts w:cs="Arial"/>
              </w:rPr>
              <w:lastRenderedPageBreak/>
              <w:t xml:space="preserve">For some services, escrowed source code </w:t>
            </w:r>
            <w:r w:rsidRPr="00873992">
              <w:rPr>
                <w:rFonts w:cs="Arial"/>
              </w:rPr>
              <w:t>is</w:t>
            </w:r>
            <w:r w:rsidR="00692848" w:rsidRPr="00873992">
              <w:rPr>
                <w:rFonts w:cs="Arial"/>
              </w:rPr>
              <w:t xml:space="preserve"> available</w:t>
            </w:r>
            <w:r w:rsidRPr="00873992">
              <w:rPr>
                <w:rFonts w:cs="Arial"/>
              </w:rPr>
              <w:t>. As part of the transition process, or for subsequent upgrades of the applications and websites, the Network Manager</w:t>
            </w:r>
            <w:r w:rsidR="00692848" w:rsidRPr="00873992">
              <w:rPr>
                <w:rFonts w:cs="Arial"/>
              </w:rPr>
              <w:t xml:space="preserve"> will need to make recommendations to the NSRB whether </w:t>
            </w:r>
            <w:r w:rsidRPr="00873992">
              <w:rPr>
                <w:rFonts w:cs="Arial"/>
              </w:rPr>
              <w:t xml:space="preserve">to </w:t>
            </w:r>
            <w:r w:rsidR="00692848" w:rsidRPr="00873992">
              <w:rPr>
                <w:rFonts w:cs="Arial"/>
              </w:rPr>
              <w:t>use the existing cod</w:t>
            </w:r>
            <w:r w:rsidR="00491286" w:rsidRPr="00873992">
              <w:rPr>
                <w:rFonts w:cs="Arial"/>
              </w:rPr>
              <w:t xml:space="preserve">e, </w:t>
            </w:r>
            <w:r w:rsidR="00692848" w:rsidRPr="00873992">
              <w:rPr>
                <w:rFonts w:cs="Arial"/>
              </w:rPr>
              <w:t>rebuild</w:t>
            </w:r>
            <w:r w:rsidRPr="00873992">
              <w:rPr>
                <w:rFonts w:cs="Arial"/>
              </w:rPr>
              <w:t>,</w:t>
            </w:r>
            <w:r w:rsidR="00692848" w:rsidRPr="00873992">
              <w:rPr>
                <w:rFonts w:cs="Arial"/>
              </w:rPr>
              <w:t xml:space="preserve"> </w:t>
            </w:r>
            <w:proofErr w:type="spellStart"/>
            <w:r w:rsidR="00692848" w:rsidRPr="00873992">
              <w:rPr>
                <w:rFonts w:cs="Arial"/>
              </w:rPr>
              <w:t>replatform</w:t>
            </w:r>
            <w:proofErr w:type="spellEnd"/>
            <w:r w:rsidR="00491286" w:rsidRPr="00873992">
              <w:rPr>
                <w:rFonts w:cs="Arial"/>
              </w:rPr>
              <w:t>,</w:t>
            </w:r>
            <w:r w:rsidR="00692848" w:rsidRPr="00873992">
              <w:rPr>
                <w:rFonts w:cs="Arial"/>
              </w:rPr>
              <w:t xml:space="preserve"> </w:t>
            </w:r>
            <w:r w:rsidRPr="00873992">
              <w:rPr>
                <w:rFonts w:cs="Arial"/>
              </w:rPr>
              <w:t xml:space="preserve">or </w:t>
            </w:r>
            <w:r w:rsidR="00C2414E" w:rsidRPr="00873992">
              <w:rPr>
                <w:rFonts w:cs="Arial"/>
              </w:rPr>
              <w:t>integrate</w:t>
            </w:r>
            <w:r w:rsidRPr="00873992">
              <w:rPr>
                <w:rFonts w:cs="Arial"/>
              </w:rPr>
              <w:t xml:space="preserve"> </w:t>
            </w:r>
            <w:r w:rsidR="00C2414E" w:rsidRPr="00873992">
              <w:rPr>
                <w:rFonts w:cs="Arial"/>
              </w:rPr>
              <w:t>with</w:t>
            </w:r>
            <w:r w:rsidRPr="00873992">
              <w:rPr>
                <w:rFonts w:cs="Arial"/>
              </w:rPr>
              <w:t xml:space="preserve"> a new service provider</w:t>
            </w:r>
            <w:r w:rsidR="00BE3D75" w:rsidRPr="00873992">
              <w:rPr>
                <w:rFonts w:cs="Arial"/>
              </w:rPr>
              <w:t>.</w:t>
            </w:r>
            <w:r w:rsidRPr="00873992">
              <w:rPr>
                <w:rFonts w:cs="Arial"/>
              </w:rPr>
              <w:t xml:space="preserve"> </w:t>
            </w:r>
            <w:r w:rsidR="00692848" w:rsidRPr="00873992">
              <w:rPr>
                <w:rFonts w:cs="Arial"/>
              </w:rPr>
              <w:t xml:space="preserve">Bidder </w:t>
            </w:r>
            <w:r w:rsidR="001D341E" w:rsidRPr="00873992">
              <w:rPr>
                <w:rFonts w:cs="Arial"/>
              </w:rPr>
              <w:t>may</w:t>
            </w:r>
            <w:r w:rsidR="00821040" w:rsidRPr="00873992">
              <w:rPr>
                <w:rFonts w:cs="Arial"/>
              </w:rPr>
              <w:t xml:space="preserve"> review Appendix E in the </w:t>
            </w:r>
            <w:r w:rsidR="00692848" w:rsidRPr="00873992">
              <w:rPr>
                <w:rFonts w:cs="Arial"/>
              </w:rPr>
              <w:t>incumbent</w:t>
            </w:r>
            <w:r w:rsidR="00821040" w:rsidRPr="00873992">
              <w:rPr>
                <w:rFonts w:cs="Arial"/>
              </w:rPr>
              <w:t xml:space="preserve"> </w:t>
            </w:r>
            <w:r w:rsidR="00692848" w:rsidRPr="00873992">
              <w:rPr>
                <w:rFonts w:cs="Arial"/>
              </w:rPr>
              <w:t>V</w:t>
            </w:r>
            <w:r w:rsidR="00821040" w:rsidRPr="00873992">
              <w:rPr>
                <w:rFonts w:cs="Arial"/>
              </w:rPr>
              <w:t>endor’s contract</w:t>
            </w:r>
            <w:r w:rsidR="001D341E" w:rsidRPr="00873992">
              <w:rPr>
                <w:rFonts w:cs="Arial"/>
              </w:rPr>
              <w:t xml:space="preserve"> to identify types of Electronic Services</w:t>
            </w:r>
            <w:r w:rsidR="00692848" w:rsidRPr="00873992">
              <w:rPr>
                <w:rFonts w:cs="Arial"/>
              </w:rPr>
              <w:t xml:space="preserve"> (See question 2)</w:t>
            </w:r>
            <w:r w:rsidR="00821040" w:rsidRPr="00873992">
              <w:rPr>
                <w:rFonts w:cs="Arial"/>
              </w:rPr>
              <w:t xml:space="preserve">.  </w:t>
            </w:r>
          </w:p>
        </w:tc>
      </w:tr>
      <w:tr w:rsidR="0015078F" w:rsidRPr="00873992" w14:paraId="18327A19" w14:textId="77777777" w:rsidTr="0006541E">
        <w:tc>
          <w:tcPr>
            <w:tcW w:w="1067" w:type="dxa"/>
          </w:tcPr>
          <w:p w14:paraId="3C454737" w14:textId="78A0299C" w:rsidR="00327201" w:rsidRPr="00873992" w:rsidRDefault="00327201" w:rsidP="00327201">
            <w:pPr>
              <w:pStyle w:val="Level1Body"/>
              <w:jc w:val="left"/>
              <w:rPr>
                <w:rFonts w:cs="Arial"/>
              </w:rPr>
            </w:pPr>
            <w:r w:rsidRPr="00873992">
              <w:rPr>
                <w:rFonts w:cs="Arial"/>
              </w:rPr>
              <w:lastRenderedPageBreak/>
              <w:t>16.</w:t>
            </w:r>
          </w:p>
        </w:tc>
        <w:tc>
          <w:tcPr>
            <w:tcW w:w="1762" w:type="dxa"/>
          </w:tcPr>
          <w:p w14:paraId="48C9D568" w14:textId="1BF1EFBC" w:rsidR="00327201" w:rsidRPr="00873992" w:rsidRDefault="00327201" w:rsidP="00327201">
            <w:pPr>
              <w:pStyle w:val="Level1Body"/>
              <w:jc w:val="left"/>
              <w:rPr>
                <w:rFonts w:cs="Arial"/>
              </w:rPr>
            </w:pPr>
            <w:r w:rsidRPr="00873992">
              <w:rPr>
                <w:rFonts w:cs="Arial"/>
              </w:rPr>
              <w:t>Section V. I. 1</w:t>
            </w:r>
          </w:p>
        </w:tc>
        <w:tc>
          <w:tcPr>
            <w:tcW w:w="1042" w:type="dxa"/>
          </w:tcPr>
          <w:p w14:paraId="020CDB1D" w14:textId="2B86AD9B" w:rsidR="00327201" w:rsidRPr="00873992" w:rsidRDefault="00327201" w:rsidP="00327201">
            <w:pPr>
              <w:pStyle w:val="Level1Body"/>
              <w:jc w:val="left"/>
              <w:rPr>
                <w:rFonts w:cs="Arial"/>
              </w:rPr>
            </w:pPr>
            <w:r w:rsidRPr="00873992">
              <w:rPr>
                <w:rFonts w:cs="Arial"/>
              </w:rPr>
              <w:t>35</w:t>
            </w:r>
          </w:p>
        </w:tc>
        <w:tc>
          <w:tcPr>
            <w:tcW w:w="2714" w:type="dxa"/>
          </w:tcPr>
          <w:p w14:paraId="423EA354" w14:textId="68BED086" w:rsidR="00327201" w:rsidRPr="00873992" w:rsidRDefault="00327201" w:rsidP="00327201">
            <w:pPr>
              <w:pStyle w:val="Level1Body"/>
              <w:jc w:val="left"/>
              <w:rPr>
                <w:rFonts w:cs="Arial"/>
              </w:rPr>
            </w:pPr>
            <w:r w:rsidRPr="00873992">
              <w:rPr>
                <w:rFonts w:cs="Arial"/>
              </w:rPr>
              <w:t xml:space="preserve">“The Network Manager will fund all up-front and ongoing investment and operational costs.” Can you clarify if the Network Manager will receive payment for the cost to migrate, </w:t>
            </w:r>
            <w:proofErr w:type="spellStart"/>
            <w:r w:rsidRPr="00873992">
              <w:rPr>
                <w:rFonts w:cs="Arial"/>
              </w:rPr>
              <w:t>replatform</w:t>
            </w:r>
            <w:proofErr w:type="spellEnd"/>
            <w:r w:rsidRPr="00873992">
              <w:rPr>
                <w:rFonts w:cs="Arial"/>
              </w:rPr>
              <w:t>, or rebuild any of the websites or applications in scope for this project? Or is the expectation that they will be paid based on the funding model in Section V. Paragraph D?</w:t>
            </w:r>
          </w:p>
        </w:tc>
        <w:tc>
          <w:tcPr>
            <w:tcW w:w="2765" w:type="dxa"/>
          </w:tcPr>
          <w:p w14:paraId="780CA568" w14:textId="65BA030C" w:rsidR="00327201" w:rsidRPr="00873992" w:rsidRDefault="00147E33" w:rsidP="00DB73FF">
            <w:pPr>
              <w:pStyle w:val="Level1Body"/>
              <w:jc w:val="left"/>
              <w:rPr>
                <w:rFonts w:cs="Arial"/>
              </w:rPr>
            </w:pPr>
            <w:r w:rsidRPr="00873992">
              <w:rPr>
                <w:rFonts w:cs="Arial"/>
              </w:rPr>
              <w:t xml:space="preserve">The expectation is that the cost to migrate, </w:t>
            </w:r>
            <w:proofErr w:type="spellStart"/>
            <w:r w:rsidRPr="00873992">
              <w:rPr>
                <w:rFonts w:cs="Arial"/>
              </w:rPr>
              <w:t>replatform</w:t>
            </w:r>
            <w:proofErr w:type="spellEnd"/>
            <w:r w:rsidRPr="00873992">
              <w:rPr>
                <w:rFonts w:cs="Arial"/>
              </w:rPr>
              <w:t xml:space="preserve">, or rebuild any of the websites or applications in scope for this project will be based on the funding model in </w:t>
            </w:r>
            <w:r w:rsidR="009A3783" w:rsidRPr="00873992">
              <w:rPr>
                <w:rFonts w:cs="Arial"/>
              </w:rPr>
              <w:t>S</w:t>
            </w:r>
            <w:r w:rsidRPr="00873992">
              <w:rPr>
                <w:rFonts w:cs="Arial"/>
              </w:rPr>
              <w:t xml:space="preserve">ection V.D. </w:t>
            </w:r>
            <w:r w:rsidR="009A3783" w:rsidRPr="00873992">
              <w:rPr>
                <w:rFonts w:cs="Arial"/>
              </w:rPr>
              <w:t xml:space="preserve">of the RFP. </w:t>
            </w:r>
            <w:r w:rsidR="00692848" w:rsidRPr="00873992">
              <w:rPr>
                <w:rFonts w:cs="Arial"/>
              </w:rPr>
              <w:t xml:space="preserve">Time and materials projects are a component of Portal operations, but funding from Portal </w:t>
            </w:r>
            <w:r w:rsidR="008C0C88" w:rsidRPr="00873992">
              <w:rPr>
                <w:rFonts w:cs="Arial"/>
              </w:rPr>
              <w:t>F</w:t>
            </w:r>
            <w:r w:rsidR="00692848" w:rsidRPr="00873992">
              <w:rPr>
                <w:rFonts w:cs="Arial"/>
              </w:rPr>
              <w:t xml:space="preserve">ees must be the primary funding source. In most cases, the Network Manager builds a Portal service and recoups the </w:t>
            </w:r>
            <w:r w:rsidR="00BE3D75" w:rsidRPr="00873992">
              <w:rPr>
                <w:rFonts w:cs="Arial"/>
              </w:rPr>
              <w:t>cost of developing the service</w:t>
            </w:r>
            <w:r w:rsidR="00692848" w:rsidRPr="00873992">
              <w:rPr>
                <w:rFonts w:cs="Arial"/>
              </w:rPr>
              <w:t xml:space="preserve"> over time through receipt of Portal Fees.  </w:t>
            </w:r>
          </w:p>
        </w:tc>
      </w:tr>
      <w:tr w:rsidR="0015078F" w:rsidRPr="00873992" w14:paraId="292CAEF3" w14:textId="77777777" w:rsidTr="0006541E">
        <w:tc>
          <w:tcPr>
            <w:tcW w:w="1067" w:type="dxa"/>
          </w:tcPr>
          <w:p w14:paraId="1DD01F32" w14:textId="669A195D" w:rsidR="00327201" w:rsidRPr="00873992" w:rsidRDefault="00327201" w:rsidP="00327201">
            <w:pPr>
              <w:pStyle w:val="Level1Body"/>
              <w:jc w:val="left"/>
              <w:rPr>
                <w:rFonts w:cs="Arial"/>
              </w:rPr>
            </w:pPr>
            <w:r w:rsidRPr="00873992">
              <w:rPr>
                <w:rFonts w:cs="Arial"/>
              </w:rPr>
              <w:t>17.</w:t>
            </w:r>
          </w:p>
        </w:tc>
        <w:tc>
          <w:tcPr>
            <w:tcW w:w="1762" w:type="dxa"/>
          </w:tcPr>
          <w:p w14:paraId="5449959B" w14:textId="10ADA7B1" w:rsidR="00327201" w:rsidRPr="00873992" w:rsidRDefault="00327201" w:rsidP="00327201">
            <w:pPr>
              <w:pStyle w:val="Level1Body"/>
              <w:jc w:val="left"/>
              <w:rPr>
                <w:rFonts w:cs="Arial"/>
              </w:rPr>
            </w:pPr>
            <w:r w:rsidRPr="00873992">
              <w:rPr>
                <w:rFonts w:cs="Arial"/>
              </w:rPr>
              <w:t>V.E. 5.29-5.30</w:t>
            </w:r>
          </w:p>
        </w:tc>
        <w:tc>
          <w:tcPr>
            <w:tcW w:w="1042" w:type="dxa"/>
          </w:tcPr>
          <w:p w14:paraId="25FD5059" w14:textId="7106EF7D" w:rsidR="00327201" w:rsidRPr="00873992" w:rsidRDefault="00327201" w:rsidP="00327201">
            <w:pPr>
              <w:pStyle w:val="Level1Body"/>
              <w:jc w:val="left"/>
              <w:rPr>
                <w:rFonts w:cs="Arial"/>
              </w:rPr>
            </w:pPr>
            <w:r w:rsidRPr="00873992">
              <w:rPr>
                <w:rFonts w:cs="Arial"/>
              </w:rPr>
              <w:t>Various</w:t>
            </w:r>
          </w:p>
        </w:tc>
        <w:tc>
          <w:tcPr>
            <w:tcW w:w="2714" w:type="dxa"/>
          </w:tcPr>
          <w:p w14:paraId="02003589" w14:textId="321E8579" w:rsidR="00327201" w:rsidRPr="00873992" w:rsidRDefault="00327201" w:rsidP="00327201">
            <w:pPr>
              <w:pStyle w:val="Level1Body"/>
              <w:jc w:val="left"/>
              <w:rPr>
                <w:rFonts w:cs="Arial"/>
              </w:rPr>
            </w:pPr>
            <w:r w:rsidRPr="00873992">
              <w:rPr>
                <w:rFonts w:cs="Arial"/>
              </w:rPr>
              <w:t>Does the live customer support need to be provided in any languages other than English?</w:t>
            </w:r>
          </w:p>
        </w:tc>
        <w:tc>
          <w:tcPr>
            <w:tcW w:w="2765" w:type="dxa"/>
          </w:tcPr>
          <w:p w14:paraId="5D127C05" w14:textId="1F9C2BC4" w:rsidR="00327201" w:rsidRPr="00873992" w:rsidRDefault="00317442" w:rsidP="00DB73FF">
            <w:pPr>
              <w:pStyle w:val="Level1Body"/>
              <w:jc w:val="left"/>
              <w:rPr>
                <w:rFonts w:cs="Arial"/>
              </w:rPr>
            </w:pPr>
            <w:r w:rsidRPr="00873992">
              <w:rPr>
                <w:rFonts w:cs="Arial"/>
              </w:rPr>
              <w:t xml:space="preserve">Translation services may be required. </w:t>
            </w:r>
            <w:r w:rsidR="00692848" w:rsidRPr="00873992">
              <w:rPr>
                <w:rFonts w:cs="Arial"/>
              </w:rPr>
              <w:t>Services are developed as requested by Partners. Partners may req</w:t>
            </w:r>
            <w:r w:rsidR="00E41CB7" w:rsidRPr="00873992">
              <w:rPr>
                <w:rFonts w:cs="Arial"/>
              </w:rPr>
              <w:t xml:space="preserve">uire support in </w:t>
            </w:r>
            <w:r w:rsidR="00692848" w:rsidRPr="00873992">
              <w:rPr>
                <w:rFonts w:cs="Arial"/>
              </w:rPr>
              <w:t xml:space="preserve">languages </w:t>
            </w:r>
            <w:r w:rsidR="00E41CB7" w:rsidRPr="00873992">
              <w:rPr>
                <w:rFonts w:cs="Arial"/>
              </w:rPr>
              <w:t>other than English if</w:t>
            </w:r>
            <w:r w:rsidR="00692848" w:rsidRPr="00873992">
              <w:rPr>
                <w:rFonts w:cs="Arial"/>
              </w:rPr>
              <w:t xml:space="preserve"> necessary to ensure meaningful access to services and programs.</w:t>
            </w:r>
          </w:p>
        </w:tc>
      </w:tr>
      <w:tr w:rsidR="0015078F" w:rsidRPr="00873992" w14:paraId="60A589DB" w14:textId="77777777" w:rsidTr="0006541E">
        <w:tc>
          <w:tcPr>
            <w:tcW w:w="1067" w:type="dxa"/>
          </w:tcPr>
          <w:p w14:paraId="47056EF9" w14:textId="707D5A38" w:rsidR="00327201" w:rsidRPr="00873992" w:rsidRDefault="00327201" w:rsidP="00327201">
            <w:pPr>
              <w:pStyle w:val="Level1Body"/>
              <w:jc w:val="left"/>
              <w:rPr>
                <w:rFonts w:cs="Arial"/>
              </w:rPr>
            </w:pPr>
            <w:r w:rsidRPr="00873992">
              <w:rPr>
                <w:rFonts w:cs="Arial"/>
              </w:rPr>
              <w:t>18.</w:t>
            </w:r>
          </w:p>
        </w:tc>
        <w:tc>
          <w:tcPr>
            <w:tcW w:w="1762" w:type="dxa"/>
          </w:tcPr>
          <w:p w14:paraId="367F1E46" w14:textId="3F499280" w:rsidR="00327201" w:rsidRPr="00873992" w:rsidRDefault="00327201" w:rsidP="00327201">
            <w:pPr>
              <w:pStyle w:val="Level1Body"/>
              <w:jc w:val="left"/>
              <w:rPr>
                <w:rFonts w:cs="Arial"/>
              </w:rPr>
            </w:pPr>
            <w:r w:rsidRPr="00873992">
              <w:rPr>
                <w:rFonts w:cs="Arial"/>
              </w:rPr>
              <w:t>V.O – Transition Plan Requirements</w:t>
            </w:r>
          </w:p>
        </w:tc>
        <w:tc>
          <w:tcPr>
            <w:tcW w:w="1042" w:type="dxa"/>
          </w:tcPr>
          <w:p w14:paraId="45B938C6" w14:textId="04861231" w:rsidR="00327201" w:rsidRPr="00873992" w:rsidRDefault="00327201" w:rsidP="00327201">
            <w:pPr>
              <w:pStyle w:val="Level1Body"/>
              <w:jc w:val="left"/>
              <w:rPr>
                <w:rFonts w:cs="Arial"/>
              </w:rPr>
            </w:pPr>
            <w:r w:rsidRPr="00873992">
              <w:rPr>
                <w:rFonts w:cs="Arial"/>
              </w:rPr>
              <w:t>38</w:t>
            </w:r>
          </w:p>
        </w:tc>
        <w:tc>
          <w:tcPr>
            <w:tcW w:w="2714" w:type="dxa"/>
          </w:tcPr>
          <w:p w14:paraId="6DC3D97F" w14:textId="2674A58A" w:rsidR="00327201" w:rsidRPr="00873992" w:rsidRDefault="00327201" w:rsidP="00327201">
            <w:pPr>
              <w:pStyle w:val="Level1Body"/>
              <w:jc w:val="left"/>
              <w:rPr>
                <w:rFonts w:cs="Arial"/>
              </w:rPr>
            </w:pPr>
            <w:r w:rsidRPr="00873992">
              <w:rPr>
                <w:rFonts w:cs="Arial"/>
              </w:rPr>
              <w:t xml:space="preserve">The RFP states that the transition of all applications and services must occur within 12 months; however, in the first round of questions, there was a response that indicated there may be up to a 30-month transition period (Question 8), but then in another </w:t>
            </w:r>
            <w:r w:rsidRPr="00873992">
              <w:rPr>
                <w:rFonts w:cs="Arial"/>
              </w:rPr>
              <w:lastRenderedPageBreak/>
              <w:t xml:space="preserve">response, it again indicated 12 months. Is the expected implementation and transition timeline 12 months or 30 months? </w:t>
            </w:r>
          </w:p>
        </w:tc>
        <w:tc>
          <w:tcPr>
            <w:tcW w:w="2765" w:type="dxa"/>
          </w:tcPr>
          <w:p w14:paraId="0D7BC79D" w14:textId="2E438A30" w:rsidR="00327201" w:rsidRPr="00873992" w:rsidRDefault="00E41CB7" w:rsidP="00DB73FF">
            <w:pPr>
              <w:pStyle w:val="Level1Body"/>
              <w:jc w:val="left"/>
              <w:rPr>
                <w:rFonts w:cs="Arial"/>
              </w:rPr>
            </w:pPr>
            <w:r w:rsidRPr="00873992">
              <w:rPr>
                <w:rFonts w:cs="Arial"/>
              </w:rPr>
              <w:lastRenderedPageBreak/>
              <w:t xml:space="preserve">All applications and services must be transitioned before the end of the term of the incumbent Vendor’s contract. </w:t>
            </w:r>
            <w:r w:rsidR="0074187F" w:rsidRPr="00873992">
              <w:rPr>
                <w:rFonts w:cs="Arial"/>
              </w:rPr>
              <w:t>The expected implementation and t</w:t>
            </w:r>
            <w:r w:rsidR="001900E5" w:rsidRPr="00873992">
              <w:rPr>
                <w:rFonts w:cs="Arial"/>
              </w:rPr>
              <w:t xml:space="preserve">ransition </w:t>
            </w:r>
            <w:r w:rsidR="0074187F" w:rsidRPr="00873992">
              <w:rPr>
                <w:rFonts w:cs="Arial"/>
              </w:rPr>
              <w:t>will</w:t>
            </w:r>
            <w:r w:rsidR="001900E5" w:rsidRPr="00873992">
              <w:rPr>
                <w:rFonts w:cs="Arial"/>
              </w:rPr>
              <w:t xml:space="preserve"> take place over a 12</w:t>
            </w:r>
            <w:r w:rsidR="00317442" w:rsidRPr="00873992">
              <w:rPr>
                <w:rFonts w:cs="Arial"/>
              </w:rPr>
              <w:t xml:space="preserve"> to 30 month</w:t>
            </w:r>
            <w:r w:rsidR="001908B0" w:rsidRPr="00873992">
              <w:rPr>
                <w:rFonts w:cs="Arial"/>
              </w:rPr>
              <w:t xml:space="preserve"> </w:t>
            </w:r>
            <w:r w:rsidR="00147E33" w:rsidRPr="00873992">
              <w:rPr>
                <w:rFonts w:cs="Arial"/>
              </w:rPr>
              <w:t>p</w:t>
            </w:r>
            <w:r w:rsidR="001900E5" w:rsidRPr="00873992">
              <w:rPr>
                <w:rFonts w:cs="Arial"/>
              </w:rPr>
              <w:t>eriod</w:t>
            </w:r>
            <w:r w:rsidR="00147E33" w:rsidRPr="00873992">
              <w:rPr>
                <w:rFonts w:cs="Arial"/>
              </w:rPr>
              <w:t>.</w:t>
            </w:r>
          </w:p>
        </w:tc>
      </w:tr>
      <w:tr w:rsidR="0015078F" w:rsidRPr="00873992" w14:paraId="745554D6" w14:textId="77777777" w:rsidTr="0006541E">
        <w:tc>
          <w:tcPr>
            <w:tcW w:w="1067" w:type="dxa"/>
          </w:tcPr>
          <w:p w14:paraId="3C3CEADE" w14:textId="17E8E014" w:rsidR="00327201" w:rsidRPr="00873992" w:rsidRDefault="00327201" w:rsidP="00327201">
            <w:pPr>
              <w:pStyle w:val="Level1Body"/>
              <w:jc w:val="left"/>
              <w:rPr>
                <w:rFonts w:cs="Arial"/>
              </w:rPr>
            </w:pPr>
            <w:r w:rsidRPr="00873992">
              <w:rPr>
                <w:rFonts w:cs="Arial"/>
              </w:rPr>
              <w:t>19.</w:t>
            </w:r>
          </w:p>
        </w:tc>
        <w:tc>
          <w:tcPr>
            <w:tcW w:w="1762" w:type="dxa"/>
          </w:tcPr>
          <w:p w14:paraId="080B2596" w14:textId="6DB7CB8D" w:rsidR="00327201" w:rsidRPr="00873992" w:rsidRDefault="00327201" w:rsidP="00327201">
            <w:pPr>
              <w:pStyle w:val="Level1Body"/>
              <w:jc w:val="left"/>
              <w:rPr>
                <w:rFonts w:cs="Arial"/>
              </w:rPr>
            </w:pPr>
            <w:r w:rsidRPr="00873992">
              <w:rPr>
                <w:rFonts w:cs="Arial"/>
              </w:rPr>
              <w:t>RTM 25</w:t>
            </w:r>
          </w:p>
        </w:tc>
        <w:tc>
          <w:tcPr>
            <w:tcW w:w="1042" w:type="dxa"/>
          </w:tcPr>
          <w:p w14:paraId="2EADA44A" w14:textId="3F08C7EC" w:rsidR="00327201" w:rsidRPr="00873992" w:rsidRDefault="00327201" w:rsidP="00327201">
            <w:pPr>
              <w:pStyle w:val="Level1Body"/>
              <w:jc w:val="left"/>
              <w:rPr>
                <w:rFonts w:cs="Arial"/>
              </w:rPr>
            </w:pPr>
            <w:r w:rsidRPr="00873992">
              <w:rPr>
                <w:rFonts w:cs="Arial"/>
              </w:rPr>
              <w:t xml:space="preserve"> 11</w:t>
            </w:r>
          </w:p>
        </w:tc>
        <w:tc>
          <w:tcPr>
            <w:tcW w:w="2714" w:type="dxa"/>
          </w:tcPr>
          <w:p w14:paraId="56847895" w14:textId="4EEA918F" w:rsidR="00327201" w:rsidRPr="00873992" w:rsidRDefault="00327201" w:rsidP="00327201">
            <w:pPr>
              <w:pStyle w:val="Level1Body"/>
              <w:jc w:val="left"/>
              <w:rPr>
                <w:rFonts w:cs="Arial"/>
              </w:rPr>
            </w:pPr>
            <w:r w:rsidRPr="00873992">
              <w:rPr>
                <w:rFonts w:cs="Arial"/>
              </w:rPr>
              <w:t>Are there specific areas where the State is seeking innovation or efficiency improvements, such as AI-driven services or advanced user interfaces?</w:t>
            </w:r>
          </w:p>
        </w:tc>
        <w:tc>
          <w:tcPr>
            <w:tcW w:w="2765" w:type="dxa"/>
          </w:tcPr>
          <w:p w14:paraId="3312D3D5" w14:textId="3CFCC593" w:rsidR="00327201" w:rsidRPr="00873992" w:rsidRDefault="001900E5" w:rsidP="00DB73FF">
            <w:pPr>
              <w:pStyle w:val="Level1Body"/>
              <w:jc w:val="left"/>
              <w:rPr>
                <w:rFonts w:cs="Arial"/>
              </w:rPr>
            </w:pPr>
            <w:r w:rsidRPr="00873992">
              <w:rPr>
                <w:rFonts w:cs="Arial"/>
              </w:rPr>
              <w:t xml:space="preserve">The State is seeking to bring innovation and efficiency to the Portal.  Bidders and the Network Manager throughout the term of the Contract should make recommendations to the NSRB on ways to bring innovation and efficiency to the Portal.  </w:t>
            </w:r>
          </w:p>
        </w:tc>
      </w:tr>
      <w:tr w:rsidR="0015078F" w:rsidRPr="00873992" w14:paraId="66FD074C" w14:textId="77777777" w:rsidTr="0006541E">
        <w:tc>
          <w:tcPr>
            <w:tcW w:w="1067" w:type="dxa"/>
          </w:tcPr>
          <w:p w14:paraId="55279843" w14:textId="7716D6C8" w:rsidR="00327201" w:rsidRPr="00873992" w:rsidRDefault="00327201" w:rsidP="00327201">
            <w:pPr>
              <w:pStyle w:val="Level1Body"/>
              <w:jc w:val="left"/>
              <w:rPr>
                <w:rFonts w:cs="Arial"/>
              </w:rPr>
            </w:pPr>
            <w:r w:rsidRPr="00873992">
              <w:rPr>
                <w:rFonts w:cs="Arial"/>
              </w:rPr>
              <w:t>20.</w:t>
            </w:r>
          </w:p>
        </w:tc>
        <w:tc>
          <w:tcPr>
            <w:tcW w:w="1762" w:type="dxa"/>
          </w:tcPr>
          <w:p w14:paraId="6B091BCD" w14:textId="645EE911" w:rsidR="00327201" w:rsidRPr="00873992" w:rsidRDefault="00327201" w:rsidP="00327201">
            <w:pPr>
              <w:pStyle w:val="Level1Body"/>
              <w:jc w:val="left"/>
              <w:rPr>
                <w:rFonts w:cs="Arial"/>
              </w:rPr>
            </w:pPr>
            <w:r w:rsidRPr="00873992">
              <w:rPr>
                <w:rFonts w:cs="Arial"/>
              </w:rPr>
              <w:t>Transition Plan Requirements</w:t>
            </w:r>
          </w:p>
        </w:tc>
        <w:tc>
          <w:tcPr>
            <w:tcW w:w="1042" w:type="dxa"/>
          </w:tcPr>
          <w:p w14:paraId="577C8307" w14:textId="28201309" w:rsidR="00327201" w:rsidRPr="00873992" w:rsidRDefault="00327201" w:rsidP="00327201">
            <w:pPr>
              <w:pStyle w:val="Level1Body"/>
              <w:jc w:val="left"/>
              <w:rPr>
                <w:rFonts w:cs="Arial"/>
              </w:rPr>
            </w:pPr>
            <w:r w:rsidRPr="00873992">
              <w:rPr>
                <w:rFonts w:cs="Arial"/>
              </w:rPr>
              <w:t xml:space="preserve">36 </w:t>
            </w:r>
          </w:p>
        </w:tc>
        <w:tc>
          <w:tcPr>
            <w:tcW w:w="2714" w:type="dxa"/>
          </w:tcPr>
          <w:p w14:paraId="5EBB919C" w14:textId="7186FC49" w:rsidR="00327201" w:rsidRPr="00873992" w:rsidRDefault="00327201" w:rsidP="00327201">
            <w:pPr>
              <w:pStyle w:val="Level1Body"/>
              <w:jc w:val="left"/>
              <w:rPr>
                <w:rFonts w:cs="Arial"/>
              </w:rPr>
            </w:pPr>
            <w:r w:rsidRPr="00873992">
              <w:rPr>
                <w:rFonts w:cs="Arial"/>
              </w:rPr>
              <w:t>Will the state retain access to legacy system source code and rights to existing, legacy applications after the contract with the incumbent network manager expires?</w:t>
            </w:r>
          </w:p>
        </w:tc>
        <w:tc>
          <w:tcPr>
            <w:tcW w:w="2765" w:type="dxa"/>
          </w:tcPr>
          <w:p w14:paraId="2B16C6FD" w14:textId="015DC0A4" w:rsidR="00327201" w:rsidRPr="00873992" w:rsidRDefault="007F6F14" w:rsidP="00DB73FF">
            <w:pPr>
              <w:pStyle w:val="Level1Body"/>
              <w:jc w:val="left"/>
              <w:rPr>
                <w:rFonts w:cs="Arial"/>
              </w:rPr>
            </w:pPr>
            <w:r w:rsidRPr="00873992">
              <w:rPr>
                <w:rFonts w:cs="Arial"/>
              </w:rPr>
              <w:t>Upon expiration or</w:t>
            </w:r>
            <w:r w:rsidR="003745C3" w:rsidRPr="00873992">
              <w:rPr>
                <w:rFonts w:cs="Arial"/>
              </w:rPr>
              <w:t xml:space="preserve"> t</w:t>
            </w:r>
            <w:r w:rsidRPr="00873992">
              <w:rPr>
                <w:rFonts w:cs="Arial"/>
              </w:rPr>
              <w:t>ermination of the incumbent Vendor’s contract, a copy of the software, as it exists upon such date, will be delivered to the State from the escrow account within thirty (30) calendar days.</w:t>
            </w:r>
          </w:p>
          <w:p w14:paraId="28EB4314" w14:textId="46FD35EA" w:rsidR="003745C3" w:rsidRPr="00873992" w:rsidRDefault="003745C3" w:rsidP="00DB73FF">
            <w:pPr>
              <w:pStyle w:val="Level1Body"/>
              <w:jc w:val="left"/>
              <w:rPr>
                <w:rFonts w:eastAsiaTheme="minorHAnsi" w:cs="Arial"/>
                <w:color w:val="2F3030"/>
              </w:rPr>
            </w:pPr>
            <w:r w:rsidRPr="00873992">
              <w:rPr>
                <w:rFonts w:cs="Arial"/>
              </w:rPr>
              <w:t xml:space="preserve">In order </w:t>
            </w:r>
            <w:r w:rsidR="00C2414E" w:rsidRPr="00873992">
              <w:rPr>
                <w:rFonts w:cs="Arial"/>
              </w:rPr>
              <w:t>for the new Ne</w:t>
            </w:r>
            <w:r w:rsidR="00F76B81" w:rsidRPr="00873992">
              <w:rPr>
                <w:rFonts w:cs="Arial"/>
              </w:rPr>
              <w:t>t</w:t>
            </w:r>
            <w:r w:rsidR="00C2414E" w:rsidRPr="00873992">
              <w:rPr>
                <w:rFonts w:cs="Arial"/>
              </w:rPr>
              <w:t xml:space="preserve">work Manager </w:t>
            </w:r>
            <w:r w:rsidRPr="00873992">
              <w:rPr>
                <w:rFonts w:cs="Arial"/>
              </w:rPr>
              <w:t xml:space="preserve">to receive escrowed materials, the </w:t>
            </w:r>
            <w:r w:rsidR="00C2414E" w:rsidRPr="00873992">
              <w:rPr>
                <w:rFonts w:cs="Arial"/>
              </w:rPr>
              <w:t>Network Manager</w:t>
            </w:r>
            <w:r w:rsidRPr="00873992">
              <w:rPr>
                <w:rFonts w:cs="Arial"/>
              </w:rPr>
              <w:t xml:space="preserve"> would have to </w:t>
            </w:r>
            <w:r w:rsidRPr="00873992">
              <w:rPr>
                <w:rFonts w:eastAsiaTheme="minorHAnsi" w:cs="Arial"/>
                <w:color w:val="2F3030"/>
              </w:rPr>
              <w:t>agree to the following</w:t>
            </w:r>
            <w:r w:rsidR="00CE7814" w:rsidRPr="00873992">
              <w:rPr>
                <w:rFonts w:eastAsiaTheme="minorHAnsi" w:cs="Arial"/>
                <w:color w:val="2F3030"/>
              </w:rPr>
              <w:t xml:space="preserve"> (as required by Contract </w:t>
            </w:r>
            <w:r w:rsidR="00CE7814" w:rsidRPr="00873992">
              <w:rPr>
                <w:rFonts w:cs="Arial"/>
              </w:rPr>
              <w:t>84687 O4)</w:t>
            </w:r>
            <w:r w:rsidRPr="00873992">
              <w:rPr>
                <w:rFonts w:eastAsiaTheme="minorHAnsi" w:cs="Arial"/>
                <w:color w:val="2F3030"/>
              </w:rPr>
              <w:t xml:space="preserve">: </w:t>
            </w:r>
          </w:p>
          <w:p w14:paraId="199BB5F5" w14:textId="4A3E8736" w:rsidR="003745C3" w:rsidRPr="00873992" w:rsidRDefault="003745C3" w:rsidP="00DB73FF">
            <w:pPr>
              <w:pStyle w:val="Level1Body"/>
              <w:numPr>
                <w:ilvl w:val="0"/>
                <w:numId w:val="3"/>
              </w:numPr>
              <w:ind w:left="481" w:hanging="360"/>
              <w:jc w:val="left"/>
              <w:rPr>
                <w:rFonts w:cs="Arial"/>
              </w:rPr>
            </w:pPr>
            <w:r w:rsidRPr="00873992">
              <w:rPr>
                <w:rFonts w:cs="Arial"/>
              </w:rPr>
              <w:t xml:space="preserve">Protect the </w:t>
            </w:r>
            <w:r w:rsidR="00C2414E" w:rsidRPr="00873992">
              <w:rPr>
                <w:rFonts w:cs="Arial"/>
              </w:rPr>
              <w:t>s</w:t>
            </w:r>
            <w:r w:rsidRPr="00873992">
              <w:rPr>
                <w:rFonts w:cs="Arial"/>
              </w:rPr>
              <w:t>oftware from use inconsistent with the incum</w:t>
            </w:r>
            <w:r w:rsidR="00C2414E" w:rsidRPr="00873992">
              <w:rPr>
                <w:rFonts w:cs="Arial"/>
              </w:rPr>
              <w:t>b</w:t>
            </w:r>
            <w:r w:rsidRPr="00873992">
              <w:rPr>
                <w:rFonts w:cs="Arial"/>
              </w:rPr>
              <w:t>ent Vendor’s license or disclosure;</w:t>
            </w:r>
          </w:p>
          <w:p w14:paraId="6E0F8F93" w14:textId="3A24CAC2" w:rsidR="003745C3" w:rsidRPr="00873992" w:rsidRDefault="003745C3" w:rsidP="00DB73FF">
            <w:pPr>
              <w:pStyle w:val="Level1Body"/>
              <w:ind w:left="481" w:hanging="360"/>
              <w:jc w:val="left"/>
              <w:rPr>
                <w:rFonts w:cs="Arial"/>
              </w:rPr>
            </w:pPr>
            <w:r w:rsidRPr="00873992">
              <w:rPr>
                <w:rFonts w:cs="Arial"/>
              </w:rPr>
              <w:t xml:space="preserve">ii. </w:t>
            </w:r>
            <w:r w:rsidR="00E0079E" w:rsidRPr="00873992">
              <w:rPr>
                <w:rFonts w:cs="Arial"/>
              </w:rPr>
              <w:t xml:space="preserve">  </w:t>
            </w:r>
            <w:r w:rsidRPr="00873992">
              <w:rPr>
                <w:rFonts w:cs="Arial"/>
              </w:rPr>
              <w:t xml:space="preserve">Keep the </w:t>
            </w:r>
            <w:r w:rsidR="00C2414E" w:rsidRPr="00873992">
              <w:rPr>
                <w:rFonts w:cs="Arial"/>
              </w:rPr>
              <w:t>s</w:t>
            </w:r>
            <w:r w:rsidRPr="00873992">
              <w:rPr>
                <w:rFonts w:cs="Arial"/>
              </w:rPr>
              <w:t>oftware and related documentation confidential,</w:t>
            </w:r>
          </w:p>
          <w:p w14:paraId="6A2ED65A" w14:textId="0F9627FA" w:rsidR="003745C3" w:rsidRPr="00873992" w:rsidRDefault="003745C3" w:rsidP="00DB73FF">
            <w:pPr>
              <w:pStyle w:val="Level1Body"/>
              <w:ind w:left="481" w:hanging="360"/>
              <w:jc w:val="left"/>
              <w:rPr>
                <w:rFonts w:cs="Arial"/>
              </w:rPr>
            </w:pPr>
            <w:r w:rsidRPr="00873992">
              <w:rPr>
                <w:rFonts w:cs="Arial"/>
              </w:rPr>
              <w:t xml:space="preserve">iii. </w:t>
            </w:r>
            <w:r w:rsidR="00E0079E" w:rsidRPr="00873992">
              <w:rPr>
                <w:rFonts w:cs="Arial"/>
              </w:rPr>
              <w:t xml:space="preserve"> </w:t>
            </w:r>
            <w:r w:rsidRPr="00873992">
              <w:rPr>
                <w:rFonts w:cs="Arial"/>
              </w:rPr>
              <w:t xml:space="preserve">Agree not to prepare products utilizing any portion of the </w:t>
            </w:r>
            <w:r w:rsidR="00C2414E" w:rsidRPr="00873992">
              <w:rPr>
                <w:rFonts w:cs="Arial"/>
              </w:rPr>
              <w:t>incumbent Vendor’s</w:t>
            </w:r>
            <w:r w:rsidRPr="00873992">
              <w:rPr>
                <w:rFonts w:cs="Arial"/>
              </w:rPr>
              <w:t xml:space="preserve"> </w:t>
            </w:r>
            <w:r w:rsidR="00C2414E" w:rsidRPr="00873992">
              <w:rPr>
                <w:rFonts w:cs="Arial"/>
              </w:rPr>
              <w:t>s</w:t>
            </w:r>
            <w:r w:rsidRPr="00873992">
              <w:rPr>
                <w:rFonts w:cs="Arial"/>
              </w:rPr>
              <w:t>oftware for anyone other than the State</w:t>
            </w:r>
            <w:r w:rsidR="0071311F" w:rsidRPr="00873992">
              <w:rPr>
                <w:rFonts w:cs="Arial"/>
              </w:rPr>
              <w:t>,</w:t>
            </w:r>
            <w:r w:rsidRPr="00873992">
              <w:rPr>
                <w:rFonts w:cs="Arial"/>
              </w:rPr>
              <w:t xml:space="preserve"> which will compete with the </w:t>
            </w:r>
            <w:r w:rsidR="00C2414E" w:rsidRPr="00873992">
              <w:rPr>
                <w:rFonts w:cs="Arial"/>
              </w:rPr>
              <w:t>s</w:t>
            </w:r>
            <w:r w:rsidRPr="00873992">
              <w:rPr>
                <w:rFonts w:cs="Arial"/>
              </w:rPr>
              <w:t>oftware for a period of twelve (12) months,</w:t>
            </w:r>
          </w:p>
          <w:p w14:paraId="21E21A4E" w14:textId="6690CFFE" w:rsidR="003745C3" w:rsidRPr="00873992" w:rsidRDefault="003745C3" w:rsidP="00DB73FF">
            <w:pPr>
              <w:pStyle w:val="Level1Body"/>
              <w:ind w:left="481" w:hanging="360"/>
              <w:jc w:val="left"/>
              <w:rPr>
                <w:rFonts w:cs="Arial"/>
              </w:rPr>
            </w:pPr>
            <w:r w:rsidRPr="00873992">
              <w:rPr>
                <w:rFonts w:cs="Arial"/>
              </w:rPr>
              <w:t xml:space="preserve">iv. </w:t>
            </w:r>
            <w:r w:rsidR="00E0079E" w:rsidRPr="00873992">
              <w:rPr>
                <w:rFonts w:cs="Arial"/>
              </w:rPr>
              <w:t xml:space="preserve"> </w:t>
            </w:r>
            <w:r w:rsidRPr="00873992">
              <w:rPr>
                <w:rFonts w:cs="Arial"/>
              </w:rPr>
              <w:t>Provide for injunctive relief from any violation of this section,</w:t>
            </w:r>
          </w:p>
          <w:p w14:paraId="03E4AB06" w14:textId="76084AD2" w:rsidR="003745C3" w:rsidRPr="00873992" w:rsidRDefault="003745C3" w:rsidP="00DB73FF">
            <w:pPr>
              <w:pStyle w:val="Level1Body"/>
              <w:ind w:left="481" w:hanging="360"/>
              <w:jc w:val="left"/>
              <w:rPr>
                <w:rFonts w:cs="Arial"/>
              </w:rPr>
            </w:pPr>
            <w:r w:rsidRPr="00873992">
              <w:rPr>
                <w:rFonts w:cs="Arial"/>
              </w:rPr>
              <w:t>v.</w:t>
            </w:r>
            <w:r w:rsidR="00E0079E" w:rsidRPr="00873992">
              <w:rPr>
                <w:rFonts w:cs="Arial"/>
              </w:rPr>
              <w:t xml:space="preserve"> </w:t>
            </w:r>
            <w:r w:rsidRPr="00873992">
              <w:rPr>
                <w:rFonts w:cs="Arial"/>
              </w:rPr>
              <w:t xml:space="preserve">Include a list of </w:t>
            </w:r>
            <w:r w:rsidR="00C2414E" w:rsidRPr="00873992">
              <w:rPr>
                <w:rFonts w:cs="Arial"/>
              </w:rPr>
              <w:t>s</w:t>
            </w:r>
            <w:r w:rsidRPr="00873992">
              <w:rPr>
                <w:rFonts w:cs="Arial"/>
              </w:rPr>
              <w:t xml:space="preserve">oftware applications covered by the </w:t>
            </w:r>
            <w:r w:rsidR="00C2414E" w:rsidRPr="00873992">
              <w:rPr>
                <w:rFonts w:cs="Arial"/>
              </w:rPr>
              <w:t>s</w:t>
            </w:r>
            <w:r w:rsidRPr="00873992">
              <w:rPr>
                <w:rFonts w:cs="Arial"/>
              </w:rPr>
              <w:t>oftware license; and</w:t>
            </w:r>
          </w:p>
          <w:p w14:paraId="2BE95D48" w14:textId="77777777" w:rsidR="003745C3" w:rsidRPr="00873992" w:rsidRDefault="003745C3" w:rsidP="00DB73FF">
            <w:pPr>
              <w:pStyle w:val="Level1Body"/>
              <w:ind w:left="481" w:hanging="360"/>
              <w:jc w:val="left"/>
              <w:rPr>
                <w:rFonts w:cs="Arial"/>
              </w:rPr>
            </w:pPr>
            <w:r w:rsidRPr="00873992">
              <w:rPr>
                <w:rFonts w:cs="Arial"/>
              </w:rPr>
              <w:t xml:space="preserve">vi. Provide that any and all modifications made to the </w:t>
            </w:r>
            <w:r w:rsidR="00C2414E" w:rsidRPr="00873992">
              <w:rPr>
                <w:rFonts w:cs="Arial"/>
              </w:rPr>
              <w:t>s</w:t>
            </w:r>
            <w:r w:rsidRPr="00873992">
              <w:rPr>
                <w:rFonts w:cs="Arial"/>
              </w:rPr>
              <w:t xml:space="preserve">oftware by or on behalf of the State shall remain the property of incumbent Vendor, but shall automatically be licensed to the State under the same terms and conditions as the </w:t>
            </w:r>
            <w:r w:rsidR="00C2414E" w:rsidRPr="00873992">
              <w:rPr>
                <w:rFonts w:cs="Arial"/>
              </w:rPr>
              <w:t>s</w:t>
            </w:r>
            <w:r w:rsidRPr="00873992">
              <w:rPr>
                <w:rFonts w:cs="Arial"/>
              </w:rPr>
              <w:t>oftware is licensed.</w:t>
            </w:r>
          </w:p>
          <w:p w14:paraId="5CCE075B" w14:textId="7ED0D46E" w:rsidR="00C840A4" w:rsidRPr="00873992" w:rsidRDefault="00C840A4" w:rsidP="00DB73FF">
            <w:pPr>
              <w:pStyle w:val="Level1Body"/>
              <w:jc w:val="left"/>
              <w:rPr>
                <w:rFonts w:cs="Arial"/>
              </w:rPr>
            </w:pPr>
            <w:r w:rsidRPr="00873992">
              <w:rPr>
                <w:rFonts w:cs="Arial"/>
              </w:rPr>
              <w:lastRenderedPageBreak/>
              <w:t>Certain Electronic Services and third-party software are excepted from the escrowed materials.  See Question 2 for more information.</w:t>
            </w:r>
          </w:p>
        </w:tc>
      </w:tr>
      <w:tr w:rsidR="0015078F" w:rsidRPr="00873992" w14:paraId="14241F0F" w14:textId="77777777" w:rsidTr="0006541E">
        <w:tc>
          <w:tcPr>
            <w:tcW w:w="1067" w:type="dxa"/>
          </w:tcPr>
          <w:p w14:paraId="5ACBAC78" w14:textId="7B4E55E2" w:rsidR="00327201" w:rsidRPr="00873992" w:rsidRDefault="00327201" w:rsidP="00327201">
            <w:pPr>
              <w:pStyle w:val="Level1Body"/>
              <w:jc w:val="left"/>
              <w:rPr>
                <w:rFonts w:cs="Arial"/>
              </w:rPr>
            </w:pPr>
            <w:r w:rsidRPr="00873992">
              <w:rPr>
                <w:rFonts w:cs="Arial"/>
              </w:rPr>
              <w:lastRenderedPageBreak/>
              <w:t>21.</w:t>
            </w:r>
          </w:p>
        </w:tc>
        <w:tc>
          <w:tcPr>
            <w:tcW w:w="1762" w:type="dxa"/>
          </w:tcPr>
          <w:p w14:paraId="11A907E6" w14:textId="77777777" w:rsidR="00327201" w:rsidRPr="00873992" w:rsidRDefault="00327201" w:rsidP="00327201">
            <w:pPr>
              <w:jc w:val="left"/>
              <w:rPr>
                <w:rFonts w:cs="Arial"/>
              </w:rPr>
            </w:pPr>
            <w:r w:rsidRPr="00873992">
              <w:rPr>
                <w:rFonts w:eastAsia="Arial" w:cs="Arial"/>
                <w:color w:val="000000" w:themeColor="text1"/>
              </w:rPr>
              <w:t xml:space="preserve">Requirements Traceability Matrix </w:t>
            </w:r>
          </w:p>
          <w:p w14:paraId="52A465E3" w14:textId="1CA0C4CB" w:rsidR="00327201" w:rsidRPr="00873992" w:rsidRDefault="00327201" w:rsidP="00327201">
            <w:pPr>
              <w:pStyle w:val="Level1Body"/>
              <w:jc w:val="left"/>
              <w:rPr>
                <w:rFonts w:cs="Arial"/>
              </w:rPr>
            </w:pPr>
            <w:r w:rsidRPr="00873992">
              <w:rPr>
                <w:rFonts w:eastAsia="Arial" w:cs="Arial"/>
                <w:color w:val="000000" w:themeColor="text1"/>
              </w:rPr>
              <w:t>Part V. Section E. Scope of Work</w:t>
            </w:r>
          </w:p>
        </w:tc>
        <w:tc>
          <w:tcPr>
            <w:tcW w:w="1042" w:type="dxa"/>
          </w:tcPr>
          <w:p w14:paraId="07E59DB2" w14:textId="5EAA6919" w:rsidR="00327201" w:rsidRPr="00873992" w:rsidRDefault="00327201" w:rsidP="00327201">
            <w:pPr>
              <w:pStyle w:val="Level1Body"/>
              <w:jc w:val="left"/>
              <w:rPr>
                <w:rFonts w:cs="Arial"/>
              </w:rPr>
            </w:pPr>
            <w:r w:rsidRPr="00873992">
              <w:rPr>
                <w:rFonts w:eastAsia="Arial" w:cs="Arial"/>
                <w:color w:val="000000" w:themeColor="text1"/>
              </w:rPr>
              <w:t>RTM 4</w:t>
            </w:r>
          </w:p>
        </w:tc>
        <w:tc>
          <w:tcPr>
            <w:tcW w:w="2714" w:type="dxa"/>
          </w:tcPr>
          <w:p w14:paraId="4A8EDD9E" w14:textId="77777777" w:rsidR="00327201" w:rsidRPr="00873992" w:rsidRDefault="00327201" w:rsidP="00327201">
            <w:pPr>
              <w:jc w:val="left"/>
              <w:rPr>
                <w:rFonts w:cs="Arial"/>
              </w:rPr>
            </w:pPr>
            <w:r w:rsidRPr="00873992">
              <w:rPr>
                <w:rFonts w:eastAsia="Arial" w:cs="Arial"/>
                <w:color w:val="000000" w:themeColor="text1"/>
              </w:rPr>
              <w:t>“Integrating with existing data sources and a description of any data management systems used by the bidder.”</w:t>
            </w:r>
          </w:p>
          <w:p w14:paraId="0EDF5C2E" w14:textId="65D8C1B3" w:rsidR="00327201" w:rsidRPr="00873992" w:rsidRDefault="00327201" w:rsidP="00327201">
            <w:pPr>
              <w:pStyle w:val="Level1Body"/>
              <w:jc w:val="left"/>
              <w:rPr>
                <w:rFonts w:cs="Arial"/>
              </w:rPr>
            </w:pPr>
            <w:r w:rsidRPr="00873992">
              <w:rPr>
                <w:rFonts w:eastAsia="Arial" w:cs="Arial"/>
                <w:color w:val="000000" w:themeColor="text1"/>
              </w:rPr>
              <w:t xml:space="preserve">Can the state provide a list of what those existing data sources are (i.e., databases, web services, etc.)?   </w:t>
            </w:r>
          </w:p>
        </w:tc>
        <w:tc>
          <w:tcPr>
            <w:tcW w:w="2765" w:type="dxa"/>
          </w:tcPr>
          <w:p w14:paraId="7237ED7C" w14:textId="4E2084F0" w:rsidR="00F76B81" w:rsidRPr="00873992" w:rsidRDefault="00F76B81" w:rsidP="00DB73FF">
            <w:pPr>
              <w:pStyle w:val="Level1Body"/>
              <w:jc w:val="left"/>
              <w:rPr>
                <w:rFonts w:cs="Arial"/>
              </w:rPr>
            </w:pPr>
            <w:r w:rsidRPr="00873992">
              <w:rPr>
                <w:rFonts w:cs="Arial"/>
              </w:rPr>
              <w:t xml:space="preserve">RTM 4 </w:t>
            </w:r>
            <w:r w:rsidR="009A3783" w:rsidRPr="00873992">
              <w:rPr>
                <w:rFonts w:cs="Arial"/>
              </w:rPr>
              <w:t xml:space="preserve">of Attachment A to the RFP </w:t>
            </w:r>
            <w:r w:rsidRPr="00873992">
              <w:rPr>
                <w:rFonts w:cs="Arial"/>
              </w:rPr>
              <w:t xml:space="preserve">asks </w:t>
            </w:r>
            <w:r w:rsidR="00E0079E" w:rsidRPr="00873992">
              <w:rPr>
                <w:rFonts w:cs="Arial"/>
              </w:rPr>
              <w:t>B</w:t>
            </w:r>
            <w:r w:rsidRPr="00873992">
              <w:rPr>
                <w:rFonts w:cs="Arial"/>
              </w:rPr>
              <w:t xml:space="preserve">idder to describe </w:t>
            </w:r>
            <w:r w:rsidR="00412513" w:rsidRPr="00873992">
              <w:rPr>
                <w:rFonts w:cs="Arial"/>
              </w:rPr>
              <w:t>B</w:t>
            </w:r>
            <w:r w:rsidRPr="00873992">
              <w:rPr>
                <w:rFonts w:cs="Arial"/>
              </w:rPr>
              <w:t xml:space="preserve">idder’s experience integrating with existing data sources and a description of any data management systems used by </w:t>
            </w:r>
            <w:r w:rsidR="00E0079E" w:rsidRPr="00873992">
              <w:rPr>
                <w:rFonts w:cs="Arial"/>
              </w:rPr>
              <w:t>B</w:t>
            </w:r>
            <w:r w:rsidRPr="00873992">
              <w:rPr>
                <w:rFonts w:cs="Arial"/>
              </w:rPr>
              <w:t>idder.</w:t>
            </w:r>
          </w:p>
          <w:p w14:paraId="29E01220" w14:textId="25C9AB95" w:rsidR="00327201" w:rsidRPr="00873992" w:rsidRDefault="009E14FE" w:rsidP="00DB73FF">
            <w:pPr>
              <w:pStyle w:val="Level1Body"/>
              <w:jc w:val="left"/>
              <w:rPr>
                <w:rFonts w:cs="Arial"/>
              </w:rPr>
            </w:pPr>
            <w:r w:rsidRPr="00873992">
              <w:rPr>
                <w:rFonts w:cs="Arial"/>
              </w:rPr>
              <w:t>Available data source information</w:t>
            </w:r>
            <w:r w:rsidR="00F76B81" w:rsidRPr="00873992">
              <w:rPr>
                <w:rFonts w:cs="Arial"/>
              </w:rPr>
              <w:t xml:space="preserve"> will be provided to the selected Vendor as part of the transition process. </w:t>
            </w:r>
            <w:r w:rsidR="00EF4717" w:rsidRPr="00873992">
              <w:rPr>
                <w:rFonts w:cs="Arial"/>
              </w:rPr>
              <w:t xml:space="preserve"> </w:t>
            </w:r>
          </w:p>
        </w:tc>
      </w:tr>
      <w:tr w:rsidR="0015078F" w:rsidRPr="00873992" w14:paraId="4E76C438" w14:textId="77777777" w:rsidTr="0006541E">
        <w:tc>
          <w:tcPr>
            <w:tcW w:w="1067" w:type="dxa"/>
          </w:tcPr>
          <w:p w14:paraId="3BFEF90B" w14:textId="2E8B26B5" w:rsidR="00327201" w:rsidRPr="00873992" w:rsidRDefault="00327201" w:rsidP="00327201">
            <w:pPr>
              <w:pStyle w:val="Level1Body"/>
              <w:jc w:val="left"/>
              <w:rPr>
                <w:rFonts w:cs="Arial"/>
              </w:rPr>
            </w:pPr>
            <w:r w:rsidRPr="00873992">
              <w:rPr>
                <w:rFonts w:cs="Arial"/>
              </w:rPr>
              <w:t>22.</w:t>
            </w:r>
          </w:p>
        </w:tc>
        <w:tc>
          <w:tcPr>
            <w:tcW w:w="1762" w:type="dxa"/>
          </w:tcPr>
          <w:p w14:paraId="3FA4DD02" w14:textId="6F563FE2" w:rsidR="00327201" w:rsidRPr="00873992" w:rsidRDefault="00327201" w:rsidP="00327201">
            <w:pPr>
              <w:pStyle w:val="Level1Body"/>
              <w:jc w:val="left"/>
              <w:rPr>
                <w:rFonts w:cs="Arial"/>
              </w:rPr>
            </w:pPr>
            <w:r w:rsidRPr="00873992">
              <w:rPr>
                <w:rFonts w:cs="Arial"/>
              </w:rPr>
              <w:t>Appendix A</w:t>
            </w:r>
          </w:p>
        </w:tc>
        <w:tc>
          <w:tcPr>
            <w:tcW w:w="1042" w:type="dxa"/>
          </w:tcPr>
          <w:p w14:paraId="32BF708A" w14:textId="5ADDA3B5" w:rsidR="00327201" w:rsidRPr="00873992" w:rsidRDefault="00327201" w:rsidP="00327201">
            <w:pPr>
              <w:pStyle w:val="Level1Body"/>
              <w:jc w:val="left"/>
              <w:rPr>
                <w:rFonts w:cs="Arial"/>
              </w:rPr>
            </w:pPr>
            <w:r w:rsidRPr="00873992">
              <w:rPr>
                <w:rFonts w:cs="Arial"/>
              </w:rPr>
              <w:t xml:space="preserve"> n/a</w:t>
            </w:r>
          </w:p>
        </w:tc>
        <w:tc>
          <w:tcPr>
            <w:tcW w:w="2714" w:type="dxa"/>
          </w:tcPr>
          <w:p w14:paraId="754D3DAA" w14:textId="03DE3218" w:rsidR="00327201" w:rsidRPr="00873992" w:rsidRDefault="00327201" w:rsidP="00327201">
            <w:pPr>
              <w:pStyle w:val="Level1Body"/>
              <w:jc w:val="left"/>
              <w:rPr>
                <w:rFonts w:cs="Arial"/>
              </w:rPr>
            </w:pPr>
            <w:r w:rsidRPr="00873992">
              <w:rPr>
                <w:rFonts w:cs="Arial"/>
              </w:rPr>
              <w:t>Do any of the applications listed in Appendix A today make use of a business rules engine for complex decision making/routing as part of their workflow process(es)?</w:t>
            </w:r>
          </w:p>
        </w:tc>
        <w:tc>
          <w:tcPr>
            <w:tcW w:w="2765" w:type="dxa"/>
          </w:tcPr>
          <w:p w14:paraId="59F81242" w14:textId="309362C4" w:rsidR="00A8480C" w:rsidRPr="00873992" w:rsidRDefault="00965EFB" w:rsidP="00DB73FF">
            <w:pPr>
              <w:pStyle w:val="Level1Body"/>
              <w:jc w:val="left"/>
              <w:rPr>
                <w:rFonts w:cs="Arial"/>
              </w:rPr>
            </w:pPr>
            <w:r w:rsidRPr="00873992">
              <w:rPr>
                <w:rFonts w:cs="Arial"/>
              </w:rPr>
              <w:t>Yes, some applications</w:t>
            </w:r>
            <w:r w:rsidR="00A8480C" w:rsidRPr="00873992">
              <w:rPr>
                <w:rFonts w:cs="Arial"/>
              </w:rPr>
              <w:t xml:space="preserve"> </w:t>
            </w:r>
            <w:r w:rsidRPr="00873992">
              <w:rPr>
                <w:rFonts w:cs="Arial"/>
              </w:rPr>
              <w:t xml:space="preserve">listed in Appendix A </w:t>
            </w:r>
            <w:r w:rsidR="00A8480C" w:rsidRPr="00873992">
              <w:rPr>
                <w:rFonts w:cs="Arial"/>
              </w:rPr>
              <w:t>leverage rules-based engines to support agency operations.</w:t>
            </w:r>
          </w:p>
          <w:p w14:paraId="2F43934D" w14:textId="2C808842" w:rsidR="002C0741" w:rsidRPr="00873992" w:rsidRDefault="002C0741" w:rsidP="00DB73FF">
            <w:pPr>
              <w:pStyle w:val="Level1Body"/>
              <w:jc w:val="left"/>
              <w:rPr>
                <w:rFonts w:cs="Arial"/>
                <w:highlight w:val="yellow"/>
              </w:rPr>
            </w:pPr>
          </w:p>
        </w:tc>
      </w:tr>
      <w:tr w:rsidR="0015078F" w:rsidRPr="00873992" w14:paraId="76F7A28D" w14:textId="77777777" w:rsidTr="0006541E">
        <w:tc>
          <w:tcPr>
            <w:tcW w:w="1067" w:type="dxa"/>
          </w:tcPr>
          <w:p w14:paraId="2926A8EA" w14:textId="1BC74CC5" w:rsidR="00327201" w:rsidRPr="00873992" w:rsidRDefault="00327201" w:rsidP="00327201">
            <w:pPr>
              <w:pStyle w:val="Level1Body"/>
              <w:jc w:val="left"/>
              <w:rPr>
                <w:rFonts w:cs="Arial"/>
              </w:rPr>
            </w:pPr>
            <w:r w:rsidRPr="00873992">
              <w:rPr>
                <w:rFonts w:cs="Arial"/>
              </w:rPr>
              <w:t>23.</w:t>
            </w:r>
          </w:p>
        </w:tc>
        <w:tc>
          <w:tcPr>
            <w:tcW w:w="1762" w:type="dxa"/>
          </w:tcPr>
          <w:p w14:paraId="4B2AD8FF" w14:textId="6C43CE82" w:rsidR="00327201" w:rsidRPr="00873992" w:rsidRDefault="00327201" w:rsidP="00327201">
            <w:pPr>
              <w:pStyle w:val="Level1Body"/>
              <w:jc w:val="left"/>
              <w:rPr>
                <w:rFonts w:cs="Arial"/>
              </w:rPr>
            </w:pPr>
            <w:r w:rsidRPr="00873992">
              <w:rPr>
                <w:rFonts w:cs="Arial"/>
              </w:rPr>
              <w:t>D. Current Financing Model</w:t>
            </w:r>
          </w:p>
        </w:tc>
        <w:tc>
          <w:tcPr>
            <w:tcW w:w="1042" w:type="dxa"/>
          </w:tcPr>
          <w:p w14:paraId="45D38D1F" w14:textId="00564765" w:rsidR="00327201" w:rsidRPr="00873992" w:rsidRDefault="00327201" w:rsidP="00327201">
            <w:pPr>
              <w:pStyle w:val="Level1Body"/>
              <w:jc w:val="left"/>
              <w:rPr>
                <w:rFonts w:cs="Arial"/>
              </w:rPr>
            </w:pPr>
            <w:r w:rsidRPr="00873992">
              <w:rPr>
                <w:rFonts w:cs="Arial"/>
              </w:rPr>
              <w:t>26-27</w:t>
            </w:r>
          </w:p>
        </w:tc>
        <w:tc>
          <w:tcPr>
            <w:tcW w:w="2714" w:type="dxa"/>
          </w:tcPr>
          <w:p w14:paraId="5FD9B9F9" w14:textId="08FD8C0B" w:rsidR="00327201" w:rsidRPr="00873992" w:rsidRDefault="00327201" w:rsidP="00327201">
            <w:pPr>
              <w:pStyle w:val="Level1Body"/>
              <w:jc w:val="left"/>
              <w:rPr>
                <w:rFonts w:cs="Arial"/>
              </w:rPr>
            </w:pPr>
            <w:r w:rsidRPr="00873992">
              <w:rPr>
                <w:rFonts w:cs="Arial"/>
              </w:rPr>
              <w:t>What are your current licensing and O&amp;M costs for the existing portal solution?</w:t>
            </w:r>
          </w:p>
        </w:tc>
        <w:tc>
          <w:tcPr>
            <w:tcW w:w="2765" w:type="dxa"/>
          </w:tcPr>
          <w:p w14:paraId="2B4B922F" w14:textId="5927D847" w:rsidR="00327201" w:rsidRPr="00873992" w:rsidRDefault="00480D33" w:rsidP="00DB73FF">
            <w:pPr>
              <w:pStyle w:val="Level1Body"/>
              <w:jc w:val="left"/>
              <w:rPr>
                <w:rFonts w:cs="Arial"/>
              </w:rPr>
            </w:pPr>
            <w:r w:rsidRPr="00873992">
              <w:rPr>
                <w:rFonts w:cs="Arial"/>
              </w:rPr>
              <w:t xml:space="preserve">To date, the State has not paid licensing costs for the existing Portal solution.  </w:t>
            </w:r>
            <w:r w:rsidR="002C0741" w:rsidRPr="00873992">
              <w:rPr>
                <w:rFonts w:cs="Arial"/>
              </w:rPr>
              <w:t xml:space="preserve"> </w:t>
            </w:r>
          </w:p>
          <w:p w14:paraId="3EC06BE2" w14:textId="3563882E" w:rsidR="002C0741" w:rsidRPr="00873992" w:rsidRDefault="002C0741" w:rsidP="00DB73FF">
            <w:pPr>
              <w:pStyle w:val="Level1Body"/>
              <w:jc w:val="left"/>
              <w:rPr>
                <w:rFonts w:cs="Arial"/>
              </w:rPr>
            </w:pPr>
            <w:r w:rsidRPr="00873992">
              <w:rPr>
                <w:rFonts w:cs="Arial"/>
              </w:rPr>
              <w:t xml:space="preserve">Operation and management costs are funded through Portal </w:t>
            </w:r>
            <w:r w:rsidR="008C0C88" w:rsidRPr="00873992">
              <w:rPr>
                <w:rFonts w:cs="Arial"/>
              </w:rPr>
              <w:t>F</w:t>
            </w:r>
            <w:r w:rsidRPr="00873992">
              <w:rPr>
                <w:rFonts w:cs="Arial"/>
              </w:rPr>
              <w:t>ees</w:t>
            </w:r>
            <w:r w:rsidR="000035D9" w:rsidRPr="00873992">
              <w:rPr>
                <w:rFonts w:cs="Arial"/>
              </w:rPr>
              <w:t xml:space="preserve">. Portal </w:t>
            </w:r>
            <w:r w:rsidR="008C0C88" w:rsidRPr="00873992">
              <w:rPr>
                <w:rFonts w:cs="Arial"/>
              </w:rPr>
              <w:t>F</w:t>
            </w:r>
            <w:r w:rsidR="000035D9" w:rsidRPr="00873992">
              <w:rPr>
                <w:rFonts w:cs="Arial"/>
              </w:rPr>
              <w:t xml:space="preserve">ees </w:t>
            </w:r>
            <w:r w:rsidRPr="00873992">
              <w:rPr>
                <w:rFonts w:cs="Arial"/>
              </w:rPr>
              <w:t>must be the primary funding source</w:t>
            </w:r>
            <w:r w:rsidR="000035D9" w:rsidRPr="00873992">
              <w:rPr>
                <w:rFonts w:cs="Arial"/>
              </w:rPr>
              <w:t xml:space="preserve"> for Portal operations and maintenance. </w:t>
            </w:r>
          </w:p>
        </w:tc>
      </w:tr>
      <w:tr w:rsidR="0015078F" w:rsidRPr="00873992" w14:paraId="798A6767" w14:textId="77777777" w:rsidTr="0006541E">
        <w:tc>
          <w:tcPr>
            <w:tcW w:w="1067" w:type="dxa"/>
          </w:tcPr>
          <w:p w14:paraId="780AC516" w14:textId="7AA50C46" w:rsidR="00327201" w:rsidRPr="00873992" w:rsidRDefault="00327201" w:rsidP="00327201">
            <w:pPr>
              <w:pStyle w:val="Level1Body"/>
              <w:jc w:val="left"/>
              <w:rPr>
                <w:rFonts w:cs="Arial"/>
              </w:rPr>
            </w:pPr>
            <w:r w:rsidRPr="00873992">
              <w:rPr>
                <w:rFonts w:cs="Arial"/>
              </w:rPr>
              <w:t>24.</w:t>
            </w:r>
          </w:p>
        </w:tc>
        <w:tc>
          <w:tcPr>
            <w:tcW w:w="1762" w:type="dxa"/>
          </w:tcPr>
          <w:p w14:paraId="5037E43D" w14:textId="3CD6CDCE" w:rsidR="00327201" w:rsidRPr="00873992" w:rsidRDefault="00327201" w:rsidP="00327201">
            <w:pPr>
              <w:pStyle w:val="Level1Body"/>
              <w:jc w:val="left"/>
              <w:rPr>
                <w:rFonts w:cs="Arial"/>
              </w:rPr>
            </w:pPr>
            <w:r w:rsidRPr="00873992">
              <w:rPr>
                <w:rFonts w:cs="Arial"/>
              </w:rPr>
              <w:t>D. Current Financing Model</w:t>
            </w:r>
          </w:p>
        </w:tc>
        <w:tc>
          <w:tcPr>
            <w:tcW w:w="1042" w:type="dxa"/>
          </w:tcPr>
          <w:p w14:paraId="0B3BCCC2" w14:textId="17A22F5B" w:rsidR="00327201" w:rsidRPr="00873992" w:rsidRDefault="00327201" w:rsidP="00327201">
            <w:pPr>
              <w:pStyle w:val="Level1Body"/>
              <w:jc w:val="left"/>
              <w:rPr>
                <w:rFonts w:cs="Arial"/>
              </w:rPr>
            </w:pPr>
            <w:r w:rsidRPr="00873992">
              <w:rPr>
                <w:rFonts w:cs="Arial"/>
              </w:rPr>
              <w:t>26-27</w:t>
            </w:r>
          </w:p>
        </w:tc>
        <w:tc>
          <w:tcPr>
            <w:tcW w:w="2714" w:type="dxa"/>
          </w:tcPr>
          <w:p w14:paraId="102AE4BA" w14:textId="43FF6F87" w:rsidR="00327201" w:rsidRPr="00873992" w:rsidRDefault="00327201" w:rsidP="00327201">
            <w:pPr>
              <w:pStyle w:val="Level1Body"/>
              <w:jc w:val="left"/>
              <w:rPr>
                <w:rFonts w:cs="Arial"/>
              </w:rPr>
            </w:pPr>
            <w:r w:rsidRPr="00873992">
              <w:rPr>
                <w:rFonts w:cs="Arial"/>
              </w:rPr>
              <w:t>Does your incumbent have the ability to use your data for commercial purposes, and if so, are you looking to end that usage?</w:t>
            </w:r>
          </w:p>
        </w:tc>
        <w:tc>
          <w:tcPr>
            <w:tcW w:w="2765" w:type="dxa"/>
          </w:tcPr>
          <w:p w14:paraId="58957A87" w14:textId="7E0E6CEA" w:rsidR="00327201" w:rsidRPr="00873992" w:rsidRDefault="000035D9" w:rsidP="00DB73FF">
            <w:pPr>
              <w:pStyle w:val="Level1Body"/>
              <w:jc w:val="left"/>
              <w:rPr>
                <w:rFonts w:cs="Arial"/>
              </w:rPr>
            </w:pPr>
            <w:r w:rsidRPr="00873992">
              <w:rPr>
                <w:rFonts w:cs="Arial"/>
              </w:rPr>
              <w:t xml:space="preserve">No, the incumbent Vendor does not have the ability to use State data for commercial purposes outside of receipt of Portal </w:t>
            </w:r>
            <w:r w:rsidR="008C0C88" w:rsidRPr="00873992">
              <w:rPr>
                <w:rFonts w:cs="Arial"/>
              </w:rPr>
              <w:t>F</w:t>
            </w:r>
            <w:r w:rsidRPr="00873992">
              <w:rPr>
                <w:rFonts w:cs="Arial"/>
              </w:rPr>
              <w:t xml:space="preserve">ees. However, there are State statutes that permit purchase of certain State bulk data by </w:t>
            </w:r>
            <w:r w:rsidR="0071311F" w:rsidRPr="00873992">
              <w:rPr>
                <w:rFonts w:cs="Arial"/>
              </w:rPr>
              <w:t>third parties</w:t>
            </w:r>
            <w:r w:rsidRPr="00873992">
              <w:rPr>
                <w:rFonts w:cs="Arial"/>
              </w:rPr>
              <w:t xml:space="preserve"> subject to limitations established by statute or by the Partner. </w:t>
            </w:r>
          </w:p>
        </w:tc>
      </w:tr>
      <w:tr w:rsidR="0015078F" w:rsidRPr="00873992" w14:paraId="7479C9CB" w14:textId="77777777" w:rsidTr="0006541E">
        <w:tc>
          <w:tcPr>
            <w:tcW w:w="1067" w:type="dxa"/>
          </w:tcPr>
          <w:p w14:paraId="6D8ACCC3" w14:textId="3B3E4FB7" w:rsidR="00327201" w:rsidRPr="00873992" w:rsidRDefault="00327201" w:rsidP="00327201">
            <w:pPr>
              <w:pStyle w:val="Level1Body"/>
              <w:jc w:val="left"/>
              <w:rPr>
                <w:rFonts w:cs="Arial"/>
              </w:rPr>
            </w:pPr>
            <w:r w:rsidRPr="00873992">
              <w:rPr>
                <w:rFonts w:cs="Arial"/>
              </w:rPr>
              <w:t>25.</w:t>
            </w:r>
          </w:p>
        </w:tc>
        <w:tc>
          <w:tcPr>
            <w:tcW w:w="1762" w:type="dxa"/>
          </w:tcPr>
          <w:p w14:paraId="00DE5951" w14:textId="6A031366" w:rsidR="00327201" w:rsidRPr="00873992" w:rsidRDefault="00327201" w:rsidP="00327201">
            <w:pPr>
              <w:pStyle w:val="Level1Body"/>
              <w:jc w:val="left"/>
              <w:rPr>
                <w:rFonts w:cs="Arial"/>
              </w:rPr>
            </w:pPr>
            <w:r w:rsidRPr="00873992">
              <w:rPr>
                <w:rFonts w:cs="Arial"/>
              </w:rPr>
              <w:t>D. Current Financing Model</w:t>
            </w:r>
          </w:p>
        </w:tc>
        <w:tc>
          <w:tcPr>
            <w:tcW w:w="1042" w:type="dxa"/>
          </w:tcPr>
          <w:p w14:paraId="6D15314B" w14:textId="130C2E89" w:rsidR="00327201" w:rsidRPr="00873992" w:rsidRDefault="00327201" w:rsidP="00327201">
            <w:pPr>
              <w:pStyle w:val="Level1Body"/>
              <w:jc w:val="left"/>
              <w:rPr>
                <w:rFonts w:cs="Arial"/>
              </w:rPr>
            </w:pPr>
            <w:r w:rsidRPr="00873992">
              <w:rPr>
                <w:rFonts w:cs="Arial"/>
              </w:rPr>
              <w:t>26-27</w:t>
            </w:r>
          </w:p>
        </w:tc>
        <w:tc>
          <w:tcPr>
            <w:tcW w:w="2714" w:type="dxa"/>
          </w:tcPr>
          <w:p w14:paraId="61110547" w14:textId="5562089F" w:rsidR="00327201" w:rsidRPr="00873992" w:rsidRDefault="00327201" w:rsidP="00327201">
            <w:pPr>
              <w:pStyle w:val="Level1Body"/>
              <w:jc w:val="left"/>
              <w:rPr>
                <w:rFonts w:cs="Arial"/>
              </w:rPr>
            </w:pPr>
            <w:r w:rsidRPr="00873992">
              <w:rPr>
                <w:rFonts w:cs="Arial"/>
              </w:rPr>
              <w:t>What are the per-transaction costs that are paid by the state?</w:t>
            </w:r>
          </w:p>
        </w:tc>
        <w:tc>
          <w:tcPr>
            <w:tcW w:w="2765" w:type="dxa"/>
          </w:tcPr>
          <w:p w14:paraId="650463E9" w14:textId="75FBFCAE" w:rsidR="00327201" w:rsidRPr="00873992" w:rsidRDefault="00667A96" w:rsidP="00DB73FF">
            <w:pPr>
              <w:pStyle w:val="Level1Body"/>
              <w:jc w:val="left"/>
              <w:rPr>
                <w:rFonts w:cs="Arial"/>
              </w:rPr>
            </w:pPr>
            <w:r w:rsidRPr="00873992">
              <w:rPr>
                <w:rFonts w:cs="Arial"/>
              </w:rPr>
              <w:t xml:space="preserve">The State is not paying per-transaction costs. </w:t>
            </w:r>
            <w:r w:rsidR="00EE514C" w:rsidRPr="00873992">
              <w:rPr>
                <w:rFonts w:cs="Arial"/>
              </w:rPr>
              <w:t xml:space="preserve">Portal </w:t>
            </w:r>
            <w:r w:rsidR="008C0C88" w:rsidRPr="00873992">
              <w:rPr>
                <w:rFonts w:cs="Arial"/>
              </w:rPr>
              <w:t>F</w:t>
            </w:r>
            <w:r w:rsidR="00EE514C" w:rsidRPr="00873992">
              <w:rPr>
                <w:rFonts w:cs="Arial"/>
              </w:rPr>
              <w:t>ee</w:t>
            </w:r>
            <w:r w:rsidRPr="00873992">
              <w:rPr>
                <w:rFonts w:cs="Arial"/>
              </w:rPr>
              <w:t>s are</w:t>
            </w:r>
            <w:r w:rsidR="000C0B67" w:rsidRPr="00873992">
              <w:rPr>
                <w:rFonts w:cs="Arial"/>
              </w:rPr>
              <w:t xml:space="preserve"> </w:t>
            </w:r>
            <w:r w:rsidR="000035D9" w:rsidRPr="00873992">
              <w:rPr>
                <w:rFonts w:cs="Arial"/>
              </w:rPr>
              <w:t>established in agreement</w:t>
            </w:r>
            <w:r w:rsidRPr="00873992">
              <w:rPr>
                <w:rFonts w:cs="Arial"/>
              </w:rPr>
              <w:t>s</w:t>
            </w:r>
            <w:r w:rsidR="000035D9" w:rsidRPr="00873992">
              <w:rPr>
                <w:rFonts w:cs="Arial"/>
              </w:rPr>
              <w:t xml:space="preserve"> between the NSRB, Partner, and Network Manager.  </w:t>
            </w:r>
            <w:r w:rsidR="00480D33" w:rsidRPr="00873992">
              <w:rPr>
                <w:rFonts w:cs="Arial"/>
              </w:rPr>
              <w:t xml:space="preserve">Portal Fees are </w:t>
            </w:r>
            <w:r w:rsidR="00EE514C" w:rsidRPr="00873992">
              <w:rPr>
                <w:rFonts w:cs="Arial"/>
              </w:rPr>
              <w:t>typically</w:t>
            </w:r>
            <w:r w:rsidR="00480D33" w:rsidRPr="00873992">
              <w:rPr>
                <w:rFonts w:cs="Arial"/>
              </w:rPr>
              <w:t xml:space="preserve"> paid by </w:t>
            </w:r>
            <w:r w:rsidR="0040033D" w:rsidRPr="00873992">
              <w:rPr>
                <w:rFonts w:cs="Arial"/>
              </w:rPr>
              <w:t>Users</w:t>
            </w:r>
            <w:r w:rsidR="00EE514C" w:rsidRPr="00873992">
              <w:rPr>
                <w:rFonts w:cs="Arial"/>
              </w:rPr>
              <w:t xml:space="preserve"> </w:t>
            </w:r>
            <w:r w:rsidR="0040033D" w:rsidRPr="00873992">
              <w:rPr>
                <w:rFonts w:cs="Arial"/>
              </w:rPr>
              <w:t>of</w:t>
            </w:r>
            <w:r w:rsidR="00480D33" w:rsidRPr="00873992">
              <w:rPr>
                <w:rFonts w:cs="Arial"/>
              </w:rPr>
              <w:t xml:space="preserve"> Portal service</w:t>
            </w:r>
            <w:r w:rsidR="0040033D" w:rsidRPr="00873992">
              <w:rPr>
                <w:rFonts w:cs="Arial"/>
              </w:rPr>
              <w:t>s</w:t>
            </w:r>
            <w:r w:rsidR="00480D33" w:rsidRPr="00873992">
              <w:rPr>
                <w:rFonts w:cs="Arial"/>
              </w:rPr>
              <w:t xml:space="preserve">.  </w:t>
            </w:r>
            <w:r w:rsidR="00EE514C" w:rsidRPr="00873992">
              <w:rPr>
                <w:rFonts w:cs="Arial"/>
              </w:rPr>
              <w:t xml:space="preserve">In some cases, a Partner has opted to pay the Portal </w:t>
            </w:r>
            <w:r w:rsidR="008C0C88" w:rsidRPr="00873992">
              <w:rPr>
                <w:rFonts w:cs="Arial"/>
              </w:rPr>
              <w:t>F</w:t>
            </w:r>
            <w:r w:rsidR="00EE514C" w:rsidRPr="00873992">
              <w:rPr>
                <w:rFonts w:cs="Arial"/>
              </w:rPr>
              <w:t>ee instead of passing it on</w:t>
            </w:r>
            <w:r w:rsidR="0040033D" w:rsidRPr="00873992">
              <w:rPr>
                <w:rFonts w:cs="Arial"/>
              </w:rPr>
              <w:t xml:space="preserve"> </w:t>
            </w:r>
            <w:r w:rsidR="00EE514C" w:rsidRPr="00873992">
              <w:rPr>
                <w:rFonts w:cs="Arial"/>
              </w:rPr>
              <w:t xml:space="preserve">to the User. </w:t>
            </w:r>
          </w:p>
        </w:tc>
      </w:tr>
      <w:tr w:rsidR="0015078F" w:rsidRPr="00873992" w14:paraId="19472CE2" w14:textId="77777777" w:rsidTr="0006541E">
        <w:tc>
          <w:tcPr>
            <w:tcW w:w="1067" w:type="dxa"/>
          </w:tcPr>
          <w:p w14:paraId="09DF9C6F" w14:textId="53139720" w:rsidR="00327201" w:rsidRPr="00873992" w:rsidRDefault="00327201" w:rsidP="00327201">
            <w:pPr>
              <w:pStyle w:val="Level1Body"/>
              <w:jc w:val="left"/>
              <w:rPr>
                <w:rFonts w:cs="Arial"/>
              </w:rPr>
            </w:pPr>
            <w:r w:rsidRPr="00873992">
              <w:rPr>
                <w:rFonts w:cs="Arial"/>
              </w:rPr>
              <w:t>26.</w:t>
            </w:r>
          </w:p>
        </w:tc>
        <w:tc>
          <w:tcPr>
            <w:tcW w:w="1762" w:type="dxa"/>
          </w:tcPr>
          <w:p w14:paraId="6280F150" w14:textId="0BA91C73" w:rsidR="00327201" w:rsidRPr="00873992" w:rsidRDefault="00327201" w:rsidP="00327201">
            <w:pPr>
              <w:pStyle w:val="Level1Body"/>
              <w:jc w:val="left"/>
              <w:rPr>
                <w:rFonts w:cs="Arial"/>
              </w:rPr>
            </w:pPr>
            <w:r w:rsidRPr="00873992">
              <w:rPr>
                <w:rFonts w:cs="Arial"/>
              </w:rPr>
              <w:t>2. Technical Response (Attachment A)</w:t>
            </w:r>
          </w:p>
        </w:tc>
        <w:tc>
          <w:tcPr>
            <w:tcW w:w="1042" w:type="dxa"/>
          </w:tcPr>
          <w:p w14:paraId="07B6839A" w14:textId="71B5212B" w:rsidR="00327201" w:rsidRPr="00873992" w:rsidRDefault="00327201" w:rsidP="00327201">
            <w:pPr>
              <w:pStyle w:val="Level1Body"/>
              <w:jc w:val="left"/>
              <w:rPr>
                <w:rFonts w:cs="Arial"/>
              </w:rPr>
            </w:pPr>
            <w:r w:rsidRPr="00873992">
              <w:rPr>
                <w:rFonts w:cs="Arial"/>
              </w:rPr>
              <w:t>7</w:t>
            </w:r>
          </w:p>
        </w:tc>
        <w:tc>
          <w:tcPr>
            <w:tcW w:w="2714" w:type="dxa"/>
          </w:tcPr>
          <w:p w14:paraId="7FE34FE2" w14:textId="4CC67411" w:rsidR="00327201" w:rsidRPr="00873992" w:rsidRDefault="00327201" w:rsidP="00327201">
            <w:pPr>
              <w:pStyle w:val="Level1Body"/>
              <w:jc w:val="left"/>
              <w:rPr>
                <w:rFonts w:cs="Arial"/>
              </w:rPr>
            </w:pPr>
            <w:r w:rsidRPr="00873992">
              <w:rPr>
                <w:rFonts w:cs="Arial"/>
              </w:rPr>
              <w:t xml:space="preserve">How does the State quantitatively apply the preference provided under Neb. Rev. Stat. § 73-107 </w:t>
            </w:r>
            <w:r w:rsidRPr="00873992">
              <w:rPr>
                <w:rFonts w:cs="Arial"/>
              </w:rPr>
              <w:lastRenderedPageBreak/>
              <w:t>for resident disabled veterans or businesses located in designated enterprise zones when determining award to the lowest responsible bidder?</w:t>
            </w:r>
          </w:p>
        </w:tc>
        <w:tc>
          <w:tcPr>
            <w:tcW w:w="2765" w:type="dxa"/>
          </w:tcPr>
          <w:p w14:paraId="4E7C7FFF" w14:textId="07BECBCD" w:rsidR="00327201" w:rsidRPr="00873992" w:rsidRDefault="00290882" w:rsidP="00DB73FF">
            <w:pPr>
              <w:pStyle w:val="Level1Body"/>
              <w:jc w:val="left"/>
              <w:rPr>
                <w:rFonts w:cs="Arial"/>
              </w:rPr>
            </w:pPr>
            <w:r w:rsidRPr="00873992">
              <w:rPr>
                <w:rFonts w:cs="Arial"/>
              </w:rPr>
              <w:lastRenderedPageBreak/>
              <w:t>As stated on page 7</w:t>
            </w:r>
            <w:r w:rsidR="000C32FF" w:rsidRPr="00873992">
              <w:rPr>
                <w:rFonts w:cs="Arial"/>
              </w:rPr>
              <w:t xml:space="preserve"> of the RFP</w:t>
            </w:r>
            <w:r w:rsidRPr="00873992">
              <w:rPr>
                <w:rFonts w:cs="Arial"/>
              </w:rPr>
              <w:t xml:space="preserve">, preference will only be given if all other factors are equal. If two bidders are essentially to tie and both have preference the tie would </w:t>
            </w:r>
            <w:r w:rsidRPr="00873992">
              <w:rPr>
                <w:rFonts w:cs="Arial"/>
              </w:rPr>
              <w:lastRenderedPageBreak/>
              <w:t xml:space="preserve">move on for a typical tie braker scenario. </w:t>
            </w:r>
          </w:p>
        </w:tc>
      </w:tr>
      <w:tr w:rsidR="0015078F" w:rsidRPr="00873992" w14:paraId="721E7E5E" w14:textId="77777777" w:rsidTr="0006541E">
        <w:tc>
          <w:tcPr>
            <w:tcW w:w="1067" w:type="dxa"/>
          </w:tcPr>
          <w:p w14:paraId="24DD0171" w14:textId="30F772A5" w:rsidR="00327201" w:rsidRPr="00873992" w:rsidRDefault="00327201" w:rsidP="00327201">
            <w:pPr>
              <w:pStyle w:val="Level1Body"/>
              <w:jc w:val="left"/>
              <w:rPr>
                <w:rFonts w:cs="Arial"/>
              </w:rPr>
            </w:pPr>
            <w:r w:rsidRPr="00873992">
              <w:rPr>
                <w:rFonts w:cs="Arial"/>
              </w:rPr>
              <w:lastRenderedPageBreak/>
              <w:t>27.</w:t>
            </w:r>
          </w:p>
        </w:tc>
        <w:tc>
          <w:tcPr>
            <w:tcW w:w="1762" w:type="dxa"/>
          </w:tcPr>
          <w:p w14:paraId="4D8D0512" w14:textId="02C26C04" w:rsidR="00327201" w:rsidRPr="00873992" w:rsidRDefault="00327201" w:rsidP="00327201">
            <w:pPr>
              <w:pStyle w:val="Level1Body"/>
              <w:jc w:val="left"/>
              <w:rPr>
                <w:rFonts w:cs="Arial"/>
              </w:rPr>
            </w:pPr>
            <w:r w:rsidRPr="00873992">
              <w:rPr>
                <w:rFonts w:cs="Arial"/>
              </w:rPr>
              <w:t>T. AWARD</w:t>
            </w:r>
          </w:p>
        </w:tc>
        <w:tc>
          <w:tcPr>
            <w:tcW w:w="1042" w:type="dxa"/>
          </w:tcPr>
          <w:p w14:paraId="36086625" w14:textId="77B695D0" w:rsidR="00327201" w:rsidRPr="00873992" w:rsidRDefault="00327201" w:rsidP="00327201">
            <w:pPr>
              <w:pStyle w:val="Level1Body"/>
              <w:jc w:val="left"/>
              <w:rPr>
                <w:rFonts w:cs="Arial"/>
              </w:rPr>
            </w:pPr>
            <w:r w:rsidRPr="00873992">
              <w:rPr>
                <w:rFonts w:cs="Arial"/>
              </w:rPr>
              <w:t>8</w:t>
            </w:r>
          </w:p>
        </w:tc>
        <w:tc>
          <w:tcPr>
            <w:tcW w:w="2714" w:type="dxa"/>
          </w:tcPr>
          <w:p w14:paraId="7B4374C7" w14:textId="329E4DE4" w:rsidR="00327201" w:rsidRPr="00873992" w:rsidRDefault="00327201" w:rsidP="00327201">
            <w:pPr>
              <w:pStyle w:val="Level1Body"/>
              <w:jc w:val="left"/>
              <w:rPr>
                <w:rFonts w:cs="Arial"/>
              </w:rPr>
            </w:pPr>
            <w:r w:rsidRPr="00873992">
              <w:rPr>
                <w:rFonts w:cs="Arial"/>
              </w:rPr>
              <w:t>Will the State clarify its intention with respect to making a single award, given the broad discretion reserved under Section T (Award) to issue partial, multiple, or combined awards, and further confirm whether it will accept proposals submitted on an “All or None” basis to responsibly prevent fragmented awards that could create an untenable performance scenario?</w:t>
            </w:r>
          </w:p>
        </w:tc>
        <w:tc>
          <w:tcPr>
            <w:tcW w:w="2765" w:type="dxa"/>
          </w:tcPr>
          <w:p w14:paraId="3D48D4A8" w14:textId="0BEA8027" w:rsidR="000C32FF" w:rsidRPr="00873992" w:rsidRDefault="00A73DC1" w:rsidP="00DB73FF">
            <w:pPr>
              <w:pStyle w:val="Level1Body"/>
              <w:jc w:val="left"/>
              <w:rPr>
                <w:rFonts w:cs="Arial"/>
                <w:color w:val="auto"/>
              </w:rPr>
            </w:pPr>
            <w:r w:rsidRPr="00873992">
              <w:rPr>
                <w:rFonts w:cs="Arial"/>
              </w:rPr>
              <w:t>The State is seeking a Network Manager to</w:t>
            </w:r>
            <w:r w:rsidR="00D619E3" w:rsidRPr="00873992">
              <w:rPr>
                <w:rFonts w:cs="Arial"/>
              </w:rPr>
              <w:t xml:space="preserve"> </w:t>
            </w:r>
            <w:r w:rsidR="00D619E3" w:rsidRPr="00873992">
              <w:rPr>
                <w:rFonts w:cs="Arial"/>
                <w:color w:val="auto"/>
              </w:rPr>
              <w:t xml:space="preserve">provide infrastructure and services needed to operate, manage, and expand the Portal, which allows citizens and businesses online access to public records and electronic government information and services. </w:t>
            </w:r>
          </w:p>
          <w:p w14:paraId="191F40D6" w14:textId="77777777" w:rsidR="000C32FF" w:rsidRPr="00873992" w:rsidRDefault="000C32FF" w:rsidP="00DB73FF">
            <w:pPr>
              <w:pStyle w:val="Level1Body"/>
              <w:jc w:val="left"/>
              <w:rPr>
                <w:rFonts w:cs="Arial"/>
                <w:color w:val="auto"/>
              </w:rPr>
            </w:pPr>
          </w:p>
          <w:p w14:paraId="65E3E03D" w14:textId="2786B8F6" w:rsidR="0040033D" w:rsidRPr="00873992" w:rsidRDefault="00290882" w:rsidP="00DB73FF">
            <w:pPr>
              <w:pStyle w:val="Level1Body"/>
              <w:jc w:val="left"/>
              <w:rPr>
                <w:rFonts w:cs="Arial"/>
                <w:color w:val="auto"/>
              </w:rPr>
            </w:pPr>
            <w:r w:rsidRPr="00873992">
              <w:rPr>
                <w:rFonts w:cs="Arial"/>
                <w:color w:val="auto"/>
              </w:rPr>
              <w:t>Section I.T. is standard language. It is the State’s intention to award one contract to a single Vendor</w:t>
            </w:r>
            <w:r w:rsidR="0071311F" w:rsidRPr="00873992">
              <w:rPr>
                <w:rFonts w:cs="Arial"/>
                <w:color w:val="auto"/>
              </w:rPr>
              <w:t>;</w:t>
            </w:r>
            <w:r w:rsidRPr="00873992">
              <w:rPr>
                <w:rFonts w:cs="Arial"/>
                <w:color w:val="auto"/>
              </w:rPr>
              <w:t xml:space="preserve"> however, per section I.T.</w:t>
            </w:r>
            <w:r w:rsidR="0071311F" w:rsidRPr="00873992">
              <w:rPr>
                <w:rFonts w:cs="Arial"/>
                <w:color w:val="auto"/>
              </w:rPr>
              <w:t>,</w:t>
            </w:r>
            <w:r w:rsidRPr="00873992">
              <w:rPr>
                <w:rFonts w:cs="Arial"/>
                <w:color w:val="auto"/>
              </w:rPr>
              <w:t xml:space="preserve"> the State reserves the right to make multiple awards if necessary.</w:t>
            </w:r>
          </w:p>
        </w:tc>
      </w:tr>
      <w:tr w:rsidR="0015078F" w:rsidRPr="00873992" w14:paraId="32953B5D" w14:textId="77777777" w:rsidTr="0006541E">
        <w:tc>
          <w:tcPr>
            <w:tcW w:w="1067" w:type="dxa"/>
          </w:tcPr>
          <w:p w14:paraId="137027B6" w14:textId="5ABD8045" w:rsidR="00327201" w:rsidRPr="00873992" w:rsidRDefault="00327201" w:rsidP="00327201">
            <w:pPr>
              <w:pStyle w:val="Level1Body"/>
              <w:jc w:val="left"/>
              <w:rPr>
                <w:rFonts w:cs="Arial"/>
              </w:rPr>
            </w:pPr>
            <w:r w:rsidRPr="00873992">
              <w:rPr>
                <w:rFonts w:cs="Arial"/>
              </w:rPr>
              <w:t>28.</w:t>
            </w:r>
          </w:p>
        </w:tc>
        <w:tc>
          <w:tcPr>
            <w:tcW w:w="1762" w:type="dxa"/>
          </w:tcPr>
          <w:p w14:paraId="50B03800" w14:textId="665FE59F" w:rsidR="00327201" w:rsidRPr="00873992" w:rsidRDefault="00327201" w:rsidP="00327201">
            <w:pPr>
              <w:pStyle w:val="Level1Body"/>
              <w:jc w:val="left"/>
              <w:rPr>
                <w:rFonts w:cs="Arial"/>
              </w:rPr>
            </w:pPr>
            <w:r w:rsidRPr="00873992">
              <w:rPr>
                <w:rFonts w:cs="Arial"/>
              </w:rPr>
              <w:t>Comprehensively Inclusive of the Solicitation Requirement</w:t>
            </w:r>
          </w:p>
        </w:tc>
        <w:tc>
          <w:tcPr>
            <w:tcW w:w="1042" w:type="dxa"/>
          </w:tcPr>
          <w:p w14:paraId="13612B66" w14:textId="07F8EFC3" w:rsidR="00327201" w:rsidRPr="00873992" w:rsidRDefault="00327201" w:rsidP="00327201">
            <w:pPr>
              <w:pStyle w:val="Level1Body"/>
              <w:jc w:val="left"/>
              <w:rPr>
                <w:rFonts w:cs="Arial"/>
              </w:rPr>
            </w:pPr>
            <w:r w:rsidRPr="00873992">
              <w:rPr>
                <w:rFonts w:cs="Arial"/>
              </w:rPr>
              <w:t>N/A</w:t>
            </w:r>
          </w:p>
        </w:tc>
        <w:tc>
          <w:tcPr>
            <w:tcW w:w="2714" w:type="dxa"/>
          </w:tcPr>
          <w:p w14:paraId="11CAA1E7" w14:textId="7412CE00" w:rsidR="00327201" w:rsidRPr="00873992" w:rsidRDefault="00327201" w:rsidP="00327201">
            <w:pPr>
              <w:pStyle w:val="Level1Body"/>
              <w:jc w:val="left"/>
              <w:rPr>
                <w:rFonts w:cs="Arial"/>
              </w:rPr>
            </w:pPr>
            <w:r w:rsidRPr="00873992">
              <w:rPr>
                <w:rFonts w:cs="Arial"/>
              </w:rPr>
              <w:t>Please clarify whether the resulting contract limits compensation strictly to the self-funding model (80% Margin Services/20% NSRB allocation) and fixed hourly rates for time-and-materials projects, and further confirm that supplemental compensation through time-and-materials projects is intended to encompass and fully compensate the contractor for all transition activities necessary to establish the Portal in a self-funding condition.</w:t>
            </w:r>
          </w:p>
        </w:tc>
        <w:tc>
          <w:tcPr>
            <w:tcW w:w="2765" w:type="dxa"/>
          </w:tcPr>
          <w:p w14:paraId="25B1D716" w14:textId="1FC47C15" w:rsidR="009B05C9" w:rsidRPr="00873992" w:rsidRDefault="009B05C9" w:rsidP="00DB73FF">
            <w:pPr>
              <w:pStyle w:val="Level1Body"/>
              <w:jc w:val="left"/>
              <w:rPr>
                <w:rFonts w:cs="Arial"/>
                <w:color w:val="auto"/>
              </w:rPr>
            </w:pPr>
            <w:r w:rsidRPr="00873992">
              <w:rPr>
                <w:rFonts w:cs="Arial"/>
              </w:rPr>
              <w:t>F</w:t>
            </w:r>
            <w:r w:rsidR="00D619E3" w:rsidRPr="00873992">
              <w:rPr>
                <w:rFonts w:cs="Arial"/>
              </w:rPr>
              <w:t xml:space="preserve">unding from Portal </w:t>
            </w:r>
            <w:r w:rsidR="008C0C88" w:rsidRPr="00873992">
              <w:rPr>
                <w:rFonts w:cs="Arial"/>
              </w:rPr>
              <w:t>F</w:t>
            </w:r>
            <w:r w:rsidR="00D619E3" w:rsidRPr="00873992">
              <w:rPr>
                <w:rFonts w:cs="Arial"/>
              </w:rPr>
              <w:t>ees must be the primary funding source</w:t>
            </w:r>
            <w:r w:rsidRPr="00873992">
              <w:rPr>
                <w:rFonts w:cs="Arial"/>
              </w:rPr>
              <w:t>, including for transition activities</w:t>
            </w:r>
            <w:r w:rsidR="00D619E3" w:rsidRPr="00873992">
              <w:rPr>
                <w:rFonts w:cs="Arial"/>
              </w:rPr>
              <w:t>. In most cases, the Network Manager builds a Portal service and recoups the cost of developing the service over time through receipt of Portal Fees.</w:t>
            </w:r>
            <w:r w:rsidR="0023361D" w:rsidRPr="00873992">
              <w:rPr>
                <w:rFonts w:cs="Arial"/>
              </w:rPr>
              <w:t xml:space="preserve"> </w:t>
            </w:r>
            <w:r w:rsidRPr="00873992">
              <w:rPr>
                <w:rFonts w:cs="Arial"/>
              </w:rPr>
              <w:t xml:space="preserve"> Time and materials projects are a component of Portal operations, but not the primary source of funding. </w:t>
            </w:r>
            <w:r w:rsidR="0023361D" w:rsidRPr="00873992">
              <w:rPr>
                <w:rFonts w:cs="Arial"/>
              </w:rPr>
              <w:t>O</w:t>
            </w:r>
            <w:r w:rsidR="0023361D" w:rsidRPr="00873992">
              <w:rPr>
                <w:rFonts w:cs="Arial"/>
                <w:color w:val="auto"/>
              </w:rPr>
              <w:t>ther sources of funding, including but not limited to grants, may be made available to support the Portal</w:t>
            </w:r>
            <w:r w:rsidRPr="00873992">
              <w:rPr>
                <w:rFonts w:cs="Arial"/>
                <w:color w:val="auto"/>
              </w:rPr>
              <w:t xml:space="preserve"> at the discretion of the NSRB</w:t>
            </w:r>
            <w:r w:rsidR="0023361D" w:rsidRPr="00873992">
              <w:rPr>
                <w:rFonts w:cs="Arial"/>
                <w:color w:val="auto"/>
              </w:rPr>
              <w:t>.</w:t>
            </w:r>
          </w:p>
        </w:tc>
      </w:tr>
      <w:tr w:rsidR="0015078F" w:rsidRPr="00873992" w14:paraId="122288D5" w14:textId="77777777" w:rsidTr="0006541E">
        <w:tc>
          <w:tcPr>
            <w:tcW w:w="1067" w:type="dxa"/>
          </w:tcPr>
          <w:p w14:paraId="7437DE1B" w14:textId="163D3450" w:rsidR="00327201" w:rsidRPr="00873992" w:rsidRDefault="00327201" w:rsidP="00327201">
            <w:pPr>
              <w:pStyle w:val="Level1Body"/>
              <w:jc w:val="left"/>
              <w:rPr>
                <w:rFonts w:cs="Arial"/>
              </w:rPr>
            </w:pPr>
            <w:r w:rsidRPr="00873992">
              <w:rPr>
                <w:rFonts w:cs="Arial"/>
              </w:rPr>
              <w:t>29.</w:t>
            </w:r>
          </w:p>
        </w:tc>
        <w:tc>
          <w:tcPr>
            <w:tcW w:w="1762" w:type="dxa"/>
          </w:tcPr>
          <w:p w14:paraId="1E50B10A" w14:textId="6CFC8736" w:rsidR="00327201" w:rsidRPr="00873992" w:rsidRDefault="00327201" w:rsidP="00327201">
            <w:pPr>
              <w:pStyle w:val="Level1Body"/>
              <w:jc w:val="left"/>
              <w:rPr>
                <w:rFonts w:cs="Arial"/>
              </w:rPr>
            </w:pPr>
            <w:r w:rsidRPr="00873992">
              <w:rPr>
                <w:rFonts w:cs="Arial"/>
              </w:rPr>
              <w:t>V.K – Technical Overview</w:t>
            </w:r>
          </w:p>
        </w:tc>
        <w:tc>
          <w:tcPr>
            <w:tcW w:w="1042" w:type="dxa"/>
          </w:tcPr>
          <w:p w14:paraId="18A49098" w14:textId="2EDC1256" w:rsidR="00327201" w:rsidRPr="00873992" w:rsidRDefault="00327201" w:rsidP="00327201">
            <w:pPr>
              <w:pStyle w:val="Level1Body"/>
              <w:jc w:val="left"/>
              <w:rPr>
                <w:rFonts w:cs="Arial"/>
              </w:rPr>
            </w:pPr>
            <w:r w:rsidRPr="00873992">
              <w:rPr>
                <w:rFonts w:cs="Arial"/>
              </w:rPr>
              <w:t>35</w:t>
            </w:r>
          </w:p>
        </w:tc>
        <w:tc>
          <w:tcPr>
            <w:tcW w:w="2714" w:type="dxa"/>
          </w:tcPr>
          <w:p w14:paraId="7C4BE763" w14:textId="4BB8407D" w:rsidR="00327201" w:rsidRPr="00873992" w:rsidRDefault="00327201" w:rsidP="00327201">
            <w:pPr>
              <w:pStyle w:val="Level1Body"/>
              <w:jc w:val="left"/>
              <w:rPr>
                <w:rFonts w:cs="Arial"/>
              </w:rPr>
            </w:pPr>
            <w:r w:rsidRPr="00873992">
              <w:rPr>
                <w:rFonts w:cs="Arial"/>
              </w:rPr>
              <w:t>Describe your requirements for NIST 800-207 Zero Trust Architecture implementation.</w:t>
            </w:r>
          </w:p>
        </w:tc>
        <w:tc>
          <w:tcPr>
            <w:tcW w:w="2765" w:type="dxa"/>
          </w:tcPr>
          <w:p w14:paraId="4378DF73" w14:textId="1AB686B5" w:rsidR="004D4CFB" w:rsidRPr="00873992" w:rsidRDefault="004D4CFB" w:rsidP="00DB73FF">
            <w:pPr>
              <w:pStyle w:val="Level1Body"/>
              <w:jc w:val="left"/>
              <w:rPr>
                <w:rFonts w:cs="Arial"/>
              </w:rPr>
            </w:pPr>
            <w:r w:rsidRPr="00873992">
              <w:rPr>
                <w:rFonts w:cs="Arial"/>
                <w:color w:val="auto"/>
              </w:rPr>
              <w:t xml:space="preserve">All services provided by the Network Manager must be provided in compliance with the most current version of the State’s NITC Technical Standards and Guidelines (NITC Standards). The </w:t>
            </w:r>
            <w:r w:rsidRPr="00873992">
              <w:rPr>
                <w:rFonts w:cs="Arial"/>
                <w:color w:val="auto"/>
              </w:rPr>
              <w:lastRenderedPageBreak/>
              <w:t xml:space="preserve">NITC Standards are available at: </w:t>
            </w:r>
            <w:hyperlink r:id="rId9" w:history="1">
              <w:r w:rsidRPr="00873992">
                <w:rPr>
                  <w:rStyle w:val="Hyperlink"/>
                  <w:rFonts w:cs="Arial"/>
                </w:rPr>
                <w:t>https://nitc.nebraska.gov/standards/</w:t>
              </w:r>
            </w:hyperlink>
            <w:r w:rsidR="000C32FF" w:rsidRPr="00873992">
              <w:rPr>
                <w:rFonts w:cs="Arial"/>
              </w:rPr>
              <w:t xml:space="preserve"> </w:t>
            </w:r>
          </w:p>
          <w:p w14:paraId="06F8CECF" w14:textId="6348DD5C" w:rsidR="00327201" w:rsidRPr="00873992" w:rsidRDefault="0023361D" w:rsidP="00DB73FF">
            <w:pPr>
              <w:pStyle w:val="Level1Body"/>
              <w:jc w:val="left"/>
              <w:rPr>
                <w:rFonts w:cs="Arial"/>
              </w:rPr>
            </w:pPr>
            <w:r w:rsidRPr="00873992">
              <w:rPr>
                <w:rFonts w:cs="Arial"/>
              </w:rPr>
              <w:t xml:space="preserve">Services are developed as requested by Partners. Partners may require compliance with standards applicable to the data or information received or processed. In addition, the NITC Standards reference and incorporate </w:t>
            </w:r>
            <w:r w:rsidR="009B05C9" w:rsidRPr="00873992">
              <w:rPr>
                <w:rFonts w:cs="Arial"/>
              </w:rPr>
              <w:t xml:space="preserve">other </w:t>
            </w:r>
            <w:r w:rsidRPr="00873992">
              <w:rPr>
                <w:rFonts w:cs="Arial"/>
              </w:rPr>
              <w:t xml:space="preserve">compliance standards.  The selected Vendor will have to discuss these requirements with the relevant Partner on a project-by-project basis, and comply as specified by </w:t>
            </w:r>
            <w:r w:rsidR="00411A7F" w:rsidRPr="00873992">
              <w:rPr>
                <w:rFonts w:cs="Arial"/>
              </w:rPr>
              <w:t xml:space="preserve">the </w:t>
            </w:r>
            <w:r w:rsidRPr="00873992">
              <w:rPr>
                <w:rFonts w:cs="Arial"/>
              </w:rPr>
              <w:t xml:space="preserve">Partner.  </w:t>
            </w:r>
          </w:p>
        </w:tc>
      </w:tr>
      <w:tr w:rsidR="0015078F" w:rsidRPr="00873992" w14:paraId="7C25B0DC" w14:textId="77777777" w:rsidTr="0006541E">
        <w:tc>
          <w:tcPr>
            <w:tcW w:w="1067" w:type="dxa"/>
          </w:tcPr>
          <w:p w14:paraId="00ADFB19" w14:textId="0869CCE0" w:rsidR="00327201" w:rsidRPr="00873992" w:rsidRDefault="00327201" w:rsidP="00327201">
            <w:pPr>
              <w:pStyle w:val="Level1Body"/>
              <w:jc w:val="left"/>
              <w:rPr>
                <w:rFonts w:cs="Arial"/>
              </w:rPr>
            </w:pPr>
            <w:r w:rsidRPr="00873992">
              <w:rPr>
                <w:rFonts w:cs="Arial"/>
              </w:rPr>
              <w:lastRenderedPageBreak/>
              <w:t>30.</w:t>
            </w:r>
          </w:p>
        </w:tc>
        <w:tc>
          <w:tcPr>
            <w:tcW w:w="1762" w:type="dxa"/>
          </w:tcPr>
          <w:p w14:paraId="2D869499" w14:textId="780C4EC8" w:rsidR="00327201" w:rsidRPr="00873992" w:rsidRDefault="00327201" w:rsidP="00327201">
            <w:pPr>
              <w:pStyle w:val="Level1Body"/>
              <w:jc w:val="left"/>
              <w:rPr>
                <w:rFonts w:cs="Arial"/>
              </w:rPr>
            </w:pPr>
            <w:r w:rsidRPr="00873992">
              <w:rPr>
                <w:rFonts w:cs="Arial"/>
              </w:rPr>
              <w:t>V.K – Technical Overview</w:t>
            </w:r>
          </w:p>
        </w:tc>
        <w:tc>
          <w:tcPr>
            <w:tcW w:w="1042" w:type="dxa"/>
          </w:tcPr>
          <w:p w14:paraId="1EFF72FF" w14:textId="0B37596D" w:rsidR="00327201" w:rsidRPr="00873992" w:rsidRDefault="00327201" w:rsidP="00327201">
            <w:pPr>
              <w:pStyle w:val="Level1Body"/>
              <w:jc w:val="left"/>
              <w:rPr>
                <w:rFonts w:cs="Arial"/>
              </w:rPr>
            </w:pPr>
            <w:r w:rsidRPr="00873992">
              <w:rPr>
                <w:rFonts w:cs="Arial"/>
              </w:rPr>
              <w:t>35</w:t>
            </w:r>
          </w:p>
        </w:tc>
        <w:tc>
          <w:tcPr>
            <w:tcW w:w="2714" w:type="dxa"/>
          </w:tcPr>
          <w:p w14:paraId="48EB7591" w14:textId="656E6D5B" w:rsidR="00327201" w:rsidRPr="00873992" w:rsidRDefault="00327201" w:rsidP="00327201">
            <w:pPr>
              <w:pStyle w:val="Level1Body"/>
              <w:jc w:val="left"/>
              <w:rPr>
                <w:rFonts w:cs="Arial"/>
              </w:rPr>
            </w:pPr>
            <w:r w:rsidRPr="00873992">
              <w:rPr>
                <w:rFonts w:cs="Arial"/>
              </w:rPr>
              <w:t>Provide your timeline expectations for quantum-safe cryptography migration.</w:t>
            </w:r>
          </w:p>
        </w:tc>
        <w:tc>
          <w:tcPr>
            <w:tcW w:w="2765" w:type="dxa"/>
          </w:tcPr>
          <w:p w14:paraId="6CBB993B" w14:textId="1BD08732" w:rsidR="004A3979" w:rsidRPr="00873992" w:rsidRDefault="004A3979" w:rsidP="00DB73FF">
            <w:pPr>
              <w:pStyle w:val="Level1Body"/>
              <w:jc w:val="left"/>
              <w:rPr>
                <w:rFonts w:cs="Arial"/>
              </w:rPr>
            </w:pPr>
            <w:r w:rsidRPr="00873992">
              <w:rPr>
                <w:rFonts w:cs="Arial"/>
                <w:color w:val="auto"/>
              </w:rPr>
              <w:t>All services provided by the Network Manager must be provided in compliance with the most current version of the State’s NITC Technical Standards and Guidelines (NITC Standards)</w:t>
            </w:r>
            <w:r w:rsidR="00685246" w:rsidRPr="00873992">
              <w:rPr>
                <w:rFonts w:cs="Arial"/>
                <w:color w:val="auto"/>
              </w:rPr>
              <w:t xml:space="preserve">. </w:t>
            </w:r>
            <w:r w:rsidRPr="00873992">
              <w:rPr>
                <w:rFonts w:cs="Arial"/>
                <w:color w:val="auto"/>
              </w:rPr>
              <w:t xml:space="preserve">The NITC Standards are available at: </w:t>
            </w:r>
            <w:hyperlink r:id="rId10" w:history="1">
              <w:r w:rsidRPr="00873992">
                <w:rPr>
                  <w:rStyle w:val="Hyperlink"/>
                  <w:rFonts w:cs="Arial"/>
                </w:rPr>
                <w:t>https://nitc.nebraska.gov/standards/</w:t>
              </w:r>
            </w:hyperlink>
            <w:r w:rsidR="000C32FF" w:rsidRPr="00873992">
              <w:rPr>
                <w:rFonts w:cs="Arial"/>
              </w:rPr>
              <w:t xml:space="preserve"> </w:t>
            </w:r>
          </w:p>
          <w:p w14:paraId="0C0A2477" w14:textId="06D7F5AA" w:rsidR="00327201" w:rsidRPr="00873992" w:rsidRDefault="00784152" w:rsidP="00DB73FF">
            <w:pPr>
              <w:pStyle w:val="Level1Body"/>
              <w:jc w:val="left"/>
              <w:rPr>
                <w:rFonts w:cs="Arial"/>
                <w:color w:val="auto"/>
              </w:rPr>
            </w:pPr>
            <w:r w:rsidRPr="00873992">
              <w:rPr>
                <w:rFonts w:cs="Arial"/>
              </w:rPr>
              <w:t xml:space="preserve">Current NITC Standards can be revised by the NITC at any time. </w:t>
            </w:r>
            <w:r w:rsidR="00AE41F8" w:rsidRPr="00873992">
              <w:rPr>
                <w:rFonts w:cs="Arial"/>
                <w:color w:val="2F2F2F"/>
              </w:rPr>
              <w:t xml:space="preserve"> The Network Manager may be required to implement new technology that addresses future </w:t>
            </w:r>
            <w:r w:rsidR="000B5788" w:rsidRPr="00873992">
              <w:rPr>
                <w:rFonts w:cs="Arial"/>
                <w:color w:val="2F2F2F"/>
              </w:rPr>
              <w:t xml:space="preserve">cybersecurity </w:t>
            </w:r>
            <w:r w:rsidR="00AE41F8" w:rsidRPr="00873992">
              <w:rPr>
                <w:rFonts w:cs="Arial"/>
                <w:color w:val="2F2F2F"/>
              </w:rPr>
              <w:t>risks such as implementing quantum cryptography standards.</w:t>
            </w:r>
            <w:r w:rsidR="000B5788" w:rsidRPr="00873992">
              <w:rPr>
                <w:rFonts w:cs="Arial"/>
                <w:color w:val="2F2F2F"/>
              </w:rPr>
              <w:t xml:space="preserve"> Any timeline for implementation would be subject to approval by the NSRB.</w:t>
            </w:r>
          </w:p>
        </w:tc>
      </w:tr>
      <w:tr w:rsidR="0015078F" w:rsidRPr="00873992" w14:paraId="34E8EEB4" w14:textId="77777777" w:rsidTr="0006541E">
        <w:tc>
          <w:tcPr>
            <w:tcW w:w="1067" w:type="dxa"/>
          </w:tcPr>
          <w:p w14:paraId="5C4A26D7" w14:textId="7C065930" w:rsidR="00327201" w:rsidRPr="00873992" w:rsidRDefault="00327201" w:rsidP="00327201">
            <w:pPr>
              <w:pStyle w:val="Level1Body"/>
              <w:jc w:val="left"/>
              <w:rPr>
                <w:rFonts w:cs="Arial"/>
              </w:rPr>
            </w:pPr>
            <w:r w:rsidRPr="00873992">
              <w:rPr>
                <w:rFonts w:cs="Arial"/>
              </w:rPr>
              <w:t>31.</w:t>
            </w:r>
          </w:p>
        </w:tc>
        <w:tc>
          <w:tcPr>
            <w:tcW w:w="1762" w:type="dxa"/>
          </w:tcPr>
          <w:p w14:paraId="23C0DA8D" w14:textId="2777F6DB" w:rsidR="00327201" w:rsidRPr="00873992" w:rsidRDefault="00327201" w:rsidP="00327201">
            <w:pPr>
              <w:pStyle w:val="Level1Body"/>
              <w:jc w:val="left"/>
              <w:rPr>
                <w:rFonts w:cs="Arial"/>
              </w:rPr>
            </w:pPr>
            <w:r w:rsidRPr="00873992">
              <w:rPr>
                <w:rFonts w:cs="Arial"/>
              </w:rPr>
              <w:t>V.K.9 – Data Security Requirements</w:t>
            </w:r>
          </w:p>
        </w:tc>
        <w:tc>
          <w:tcPr>
            <w:tcW w:w="1042" w:type="dxa"/>
          </w:tcPr>
          <w:p w14:paraId="388D21E6" w14:textId="4045EE46" w:rsidR="00327201" w:rsidRPr="00873992" w:rsidRDefault="00327201" w:rsidP="00327201">
            <w:pPr>
              <w:pStyle w:val="Level1Body"/>
              <w:jc w:val="left"/>
              <w:rPr>
                <w:rFonts w:cs="Arial"/>
              </w:rPr>
            </w:pPr>
            <w:r w:rsidRPr="00873992">
              <w:rPr>
                <w:rFonts w:cs="Arial"/>
              </w:rPr>
              <w:t>36</w:t>
            </w:r>
          </w:p>
        </w:tc>
        <w:tc>
          <w:tcPr>
            <w:tcW w:w="2714" w:type="dxa"/>
          </w:tcPr>
          <w:p w14:paraId="195A43C2" w14:textId="55D2CE8B" w:rsidR="00327201" w:rsidRPr="00873992" w:rsidRDefault="00327201" w:rsidP="00327201">
            <w:pPr>
              <w:pStyle w:val="Level1Body"/>
              <w:jc w:val="left"/>
              <w:rPr>
                <w:rFonts w:cs="Arial"/>
              </w:rPr>
            </w:pPr>
            <w:r w:rsidRPr="00873992">
              <w:rPr>
                <w:rFonts w:cs="Arial"/>
              </w:rPr>
              <w:t>List specific ransomware recovery time objectives and immutable backup requirements.</w:t>
            </w:r>
          </w:p>
        </w:tc>
        <w:tc>
          <w:tcPr>
            <w:tcW w:w="2765" w:type="dxa"/>
          </w:tcPr>
          <w:p w14:paraId="035844F0" w14:textId="2058D83C" w:rsidR="0087628D" w:rsidRPr="00873992" w:rsidRDefault="0087628D" w:rsidP="00DB73FF">
            <w:pPr>
              <w:pStyle w:val="Level1Body"/>
              <w:jc w:val="left"/>
              <w:rPr>
                <w:rFonts w:cs="Arial"/>
              </w:rPr>
            </w:pPr>
            <w:r w:rsidRPr="00873992">
              <w:rPr>
                <w:rFonts w:cs="Arial"/>
                <w:color w:val="auto"/>
              </w:rPr>
              <w:t xml:space="preserve">All services provided by the Network Manager must be provided in compliance with the most current version of the State’s NITC Technical Standards and Guidelines (NITC Standards). The NITC Standards are available at: </w:t>
            </w:r>
            <w:hyperlink r:id="rId11" w:history="1">
              <w:r w:rsidRPr="00873992">
                <w:rPr>
                  <w:rStyle w:val="Hyperlink"/>
                  <w:rFonts w:cs="Arial"/>
                </w:rPr>
                <w:t>https://nitc.nebraska.gov/standards/</w:t>
              </w:r>
            </w:hyperlink>
            <w:r w:rsidR="000C32FF" w:rsidRPr="00873992">
              <w:rPr>
                <w:rFonts w:cs="Arial"/>
              </w:rPr>
              <w:t xml:space="preserve"> </w:t>
            </w:r>
          </w:p>
          <w:p w14:paraId="47B2494F" w14:textId="77777777" w:rsidR="00391E21" w:rsidRPr="00873992" w:rsidRDefault="00E80FAC" w:rsidP="00DB73FF">
            <w:pPr>
              <w:pStyle w:val="Level1Body"/>
              <w:jc w:val="left"/>
              <w:rPr>
                <w:rFonts w:cs="Arial"/>
              </w:rPr>
            </w:pPr>
            <w:r w:rsidRPr="00873992">
              <w:rPr>
                <w:rFonts w:cs="Arial"/>
              </w:rPr>
              <w:t xml:space="preserve">See V.R. Penalty, which </w:t>
            </w:r>
            <w:r w:rsidR="00391E21" w:rsidRPr="00873992">
              <w:rPr>
                <w:rFonts w:cs="Arial"/>
              </w:rPr>
              <w:t>also applies to any loss of functionality due to ransomware recovery</w:t>
            </w:r>
            <w:r w:rsidRPr="00873992">
              <w:rPr>
                <w:rFonts w:cs="Arial"/>
              </w:rPr>
              <w:t>.</w:t>
            </w:r>
          </w:p>
          <w:p w14:paraId="27FCC5AB" w14:textId="2BCADB56" w:rsidR="00391C64" w:rsidRPr="00873992" w:rsidRDefault="00391C64" w:rsidP="00DB73FF">
            <w:pPr>
              <w:pStyle w:val="Level1Body"/>
              <w:jc w:val="left"/>
              <w:rPr>
                <w:rFonts w:cs="Arial"/>
              </w:rPr>
            </w:pPr>
            <w:r w:rsidRPr="00873992">
              <w:rPr>
                <w:rFonts w:cs="Arial"/>
              </w:rPr>
              <w:t xml:space="preserve">In responding to RTM 15 in Attachment A, Bidder should describe any applicable certifications or authorizations Bidder will maintain in operating the Portal.  This may include, but is not limited to, International Organization for Standardization (“ISO”) 27001, ISO 22301, Federal Risk Authorization Management </w:t>
            </w:r>
            <w:r w:rsidRPr="00873992">
              <w:rPr>
                <w:rFonts w:cs="Arial"/>
              </w:rPr>
              <w:lastRenderedPageBreak/>
              <w:t>Program (“</w:t>
            </w:r>
            <w:proofErr w:type="spellStart"/>
            <w:r w:rsidRPr="00873992">
              <w:rPr>
                <w:rFonts w:cs="Arial"/>
              </w:rPr>
              <w:t>FedRamp</w:t>
            </w:r>
            <w:proofErr w:type="spellEnd"/>
            <w:r w:rsidRPr="00873992">
              <w:rPr>
                <w:rFonts w:cs="Arial"/>
              </w:rPr>
              <w:t>”), or a System and Organization Controls (“SOC”) 2 attestation</w:t>
            </w:r>
            <w:r w:rsidR="00A261F9" w:rsidRPr="00873992">
              <w:rPr>
                <w:rFonts w:cs="Arial"/>
              </w:rPr>
              <w:t>.</w:t>
            </w:r>
          </w:p>
          <w:p w14:paraId="40FDD450" w14:textId="432B0692" w:rsidR="007A2064" w:rsidRPr="00873992" w:rsidRDefault="007D4407" w:rsidP="00DB73FF">
            <w:pPr>
              <w:pStyle w:val="Level1Body"/>
              <w:jc w:val="left"/>
              <w:rPr>
                <w:rFonts w:cs="Arial"/>
              </w:rPr>
            </w:pPr>
            <w:r w:rsidRPr="00873992">
              <w:rPr>
                <w:rFonts w:cs="Arial"/>
              </w:rPr>
              <w:t>While the RFP refers to nightly backups, t</w:t>
            </w:r>
            <w:r w:rsidR="00C15E77" w:rsidRPr="00873992">
              <w:rPr>
                <w:rFonts w:cs="Arial"/>
              </w:rPr>
              <w:t xml:space="preserve">he Network Manager will discuss backup requirements with Partners and </w:t>
            </w:r>
            <w:r w:rsidR="00411A7F" w:rsidRPr="00873992">
              <w:rPr>
                <w:rFonts w:cs="Arial"/>
              </w:rPr>
              <w:t>may</w:t>
            </w:r>
            <w:r w:rsidR="00C15E77" w:rsidRPr="00873992">
              <w:rPr>
                <w:rFonts w:cs="Arial"/>
              </w:rPr>
              <w:t xml:space="preserve"> be required to perform backups more frequently than nightly, upon Partner request. </w:t>
            </w:r>
            <w:r w:rsidR="00391E21" w:rsidRPr="00873992">
              <w:rPr>
                <w:rFonts w:cs="Arial"/>
              </w:rPr>
              <w:t xml:space="preserve">All backups must be encrypted while in transit and while at rest. </w:t>
            </w:r>
            <w:r w:rsidR="009915F6" w:rsidRPr="00873992">
              <w:rPr>
                <w:rFonts w:cs="Arial"/>
              </w:rPr>
              <w:t>Backups will be maintained for the period of time designated by the applicable Partner</w:t>
            </w:r>
            <w:r w:rsidR="007A2064" w:rsidRPr="00873992">
              <w:rPr>
                <w:rFonts w:cs="Arial"/>
              </w:rPr>
              <w:t xml:space="preserve"> or NSRB. </w:t>
            </w:r>
          </w:p>
          <w:p w14:paraId="00F03169" w14:textId="1D0D414C" w:rsidR="00172A08" w:rsidRPr="00873992" w:rsidRDefault="00172A08" w:rsidP="00DB73FF">
            <w:pPr>
              <w:pStyle w:val="Level1Body"/>
              <w:jc w:val="left"/>
              <w:rPr>
                <w:rFonts w:cs="Arial"/>
              </w:rPr>
            </w:pPr>
            <w:r w:rsidRPr="00873992">
              <w:rPr>
                <w:rFonts w:cs="Arial"/>
              </w:rPr>
              <w:t xml:space="preserve">.  </w:t>
            </w:r>
            <w:r w:rsidRPr="00873992">
              <w:rPr>
                <w:rFonts w:cs="Arial"/>
                <w:color w:val="auto"/>
              </w:rPr>
              <w:t xml:space="preserve"> </w:t>
            </w:r>
          </w:p>
          <w:p w14:paraId="36E61CBA" w14:textId="7725B0B0" w:rsidR="00327201" w:rsidRPr="00873992" w:rsidRDefault="000C0B67" w:rsidP="00DB73FF">
            <w:pPr>
              <w:pStyle w:val="Level1Body"/>
              <w:jc w:val="left"/>
              <w:rPr>
                <w:rFonts w:cs="Arial"/>
              </w:rPr>
            </w:pPr>
            <w:r w:rsidRPr="00873992">
              <w:rPr>
                <w:rFonts w:cs="Arial"/>
                <w:color w:val="auto"/>
              </w:rPr>
              <w:t>Upon request, the</w:t>
            </w:r>
            <w:r w:rsidR="00172A08" w:rsidRPr="00873992">
              <w:rPr>
                <w:rFonts w:cs="Arial"/>
                <w:color w:val="auto"/>
              </w:rPr>
              <w:t xml:space="preserve"> Network Manager will provide a report </w:t>
            </w:r>
            <w:r w:rsidR="00C8005D" w:rsidRPr="00873992">
              <w:rPr>
                <w:rFonts w:cs="Arial"/>
                <w:color w:val="auto"/>
              </w:rPr>
              <w:t xml:space="preserve">to the NSRB or Partner </w:t>
            </w:r>
            <w:r w:rsidR="00172A08" w:rsidRPr="00873992">
              <w:rPr>
                <w:rFonts w:cs="Arial"/>
                <w:color w:val="auto"/>
              </w:rPr>
              <w:t>when testing is conducted for backups, failovers, and disaster recovery</w:t>
            </w:r>
            <w:r w:rsidRPr="00873992">
              <w:rPr>
                <w:rFonts w:cs="Arial"/>
                <w:color w:val="auto"/>
              </w:rPr>
              <w:t>.</w:t>
            </w:r>
            <w:r w:rsidR="00172A08" w:rsidRPr="00873992">
              <w:rPr>
                <w:rFonts w:cs="Arial"/>
                <w:color w:val="auto"/>
              </w:rPr>
              <w:t xml:space="preserve"> </w:t>
            </w:r>
          </w:p>
        </w:tc>
      </w:tr>
      <w:tr w:rsidR="0015078F" w:rsidRPr="00873992" w14:paraId="77A39D00" w14:textId="77777777" w:rsidTr="0006541E">
        <w:tc>
          <w:tcPr>
            <w:tcW w:w="1067" w:type="dxa"/>
          </w:tcPr>
          <w:p w14:paraId="0A93B29A" w14:textId="1349CE1D" w:rsidR="00327201" w:rsidRPr="00873992" w:rsidRDefault="00327201" w:rsidP="00327201">
            <w:pPr>
              <w:pStyle w:val="Level1Body"/>
              <w:jc w:val="left"/>
              <w:rPr>
                <w:rFonts w:cs="Arial"/>
              </w:rPr>
            </w:pPr>
            <w:r w:rsidRPr="00873992">
              <w:rPr>
                <w:rFonts w:cs="Arial"/>
              </w:rPr>
              <w:lastRenderedPageBreak/>
              <w:t>32.</w:t>
            </w:r>
          </w:p>
        </w:tc>
        <w:tc>
          <w:tcPr>
            <w:tcW w:w="1762" w:type="dxa"/>
          </w:tcPr>
          <w:p w14:paraId="5F37723E" w14:textId="2053F26D" w:rsidR="00327201" w:rsidRPr="00873992" w:rsidRDefault="00327201" w:rsidP="00327201">
            <w:pPr>
              <w:pStyle w:val="Level1Body"/>
              <w:jc w:val="left"/>
              <w:rPr>
                <w:rFonts w:cs="Arial"/>
              </w:rPr>
            </w:pPr>
            <w:r w:rsidRPr="00873992">
              <w:rPr>
                <w:rFonts w:cs="Arial"/>
              </w:rPr>
              <w:t>V.K – Technical Overview</w:t>
            </w:r>
          </w:p>
        </w:tc>
        <w:tc>
          <w:tcPr>
            <w:tcW w:w="1042" w:type="dxa"/>
          </w:tcPr>
          <w:p w14:paraId="6D26AC7B" w14:textId="4F881158" w:rsidR="00327201" w:rsidRPr="00873992" w:rsidRDefault="00327201" w:rsidP="00327201">
            <w:pPr>
              <w:pStyle w:val="Level1Body"/>
              <w:jc w:val="left"/>
              <w:rPr>
                <w:rFonts w:cs="Arial"/>
              </w:rPr>
            </w:pPr>
            <w:r w:rsidRPr="00873992">
              <w:rPr>
                <w:rFonts w:cs="Arial"/>
              </w:rPr>
              <w:t>35</w:t>
            </w:r>
          </w:p>
        </w:tc>
        <w:tc>
          <w:tcPr>
            <w:tcW w:w="2714" w:type="dxa"/>
          </w:tcPr>
          <w:p w14:paraId="7FB3E377" w14:textId="320E3D54" w:rsidR="00327201" w:rsidRPr="00873992" w:rsidRDefault="00327201" w:rsidP="00327201">
            <w:pPr>
              <w:pStyle w:val="Level1Body"/>
              <w:jc w:val="left"/>
              <w:rPr>
                <w:rFonts w:cs="Arial"/>
              </w:rPr>
            </w:pPr>
            <w:r w:rsidRPr="00873992">
              <w:rPr>
                <w:rFonts w:cs="Arial"/>
              </w:rPr>
              <w:t>Describe AI/ML-powered threat detection capabilities you expect from the Network Manager.</w:t>
            </w:r>
          </w:p>
        </w:tc>
        <w:tc>
          <w:tcPr>
            <w:tcW w:w="2765" w:type="dxa"/>
          </w:tcPr>
          <w:p w14:paraId="3CB31688" w14:textId="77777777" w:rsidR="00465D29" w:rsidRPr="00873992" w:rsidRDefault="00C3181F" w:rsidP="00DB73FF">
            <w:pPr>
              <w:pStyle w:val="Level1Body"/>
              <w:jc w:val="left"/>
              <w:rPr>
                <w:rFonts w:cs="Arial"/>
              </w:rPr>
            </w:pPr>
            <w:r w:rsidRPr="00873992">
              <w:rPr>
                <w:rFonts w:cs="Arial"/>
                <w:color w:val="auto"/>
              </w:rPr>
              <w:t xml:space="preserve">The Network Manager will maintain and comply with a plan for performance monitoring and problem resolution that ensures </w:t>
            </w:r>
            <w:r w:rsidRPr="00873992">
              <w:rPr>
                <w:rFonts w:cs="Arial"/>
              </w:rPr>
              <w:t>the Portal is operational 24 hours a day, 7 days a week, allowing for reasonable time for Portal Maintenance</w:t>
            </w:r>
            <w:r w:rsidR="00465D29" w:rsidRPr="00873992">
              <w:rPr>
                <w:rFonts w:cs="Arial"/>
              </w:rPr>
              <w:t>, as specified in the RFP.</w:t>
            </w:r>
            <w:r w:rsidRPr="00873992">
              <w:rPr>
                <w:rFonts w:cs="Arial"/>
              </w:rPr>
              <w:t xml:space="preserve"> </w:t>
            </w:r>
          </w:p>
          <w:p w14:paraId="43AAE390" w14:textId="213BCA1B" w:rsidR="00465D29" w:rsidRPr="00873992" w:rsidRDefault="00465D29" w:rsidP="00DB73FF">
            <w:pPr>
              <w:pStyle w:val="Level1Body"/>
              <w:jc w:val="left"/>
              <w:rPr>
                <w:rFonts w:cs="Arial"/>
              </w:rPr>
            </w:pPr>
            <w:r w:rsidRPr="00873992">
              <w:rPr>
                <w:rFonts w:cs="Arial"/>
              </w:rPr>
              <w:t>It is expected that c</w:t>
            </w:r>
            <w:r w:rsidRPr="00873992">
              <w:rPr>
                <w:rFonts w:cs="Arial"/>
                <w:color w:val="auto"/>
              </w:rPr>
              <w:t xml:space="preserve">ybersecurity be provided </w:t>
            </w:r>
            <w:r w:rsidR="00576758" w:rsidRPr="00873992">
              <w:rPr>
                <w:rFonts w:cs="Arial"/>
                <w:color w:val="auto"/>
              </w:rPr>
              <w:t xml:space="preserve">by the Network Manager </w:t>
            </w:r>
            <w:r w:rsidRPr="00873992">
              <w:rPr>
                <w:rFonts w:cs="Arial"/>
                <w:color w:val="auto"/>
              </w:rPr>
              <w:t>through leading-edge technology.</w:t>
            </w:r>
          </w:p>
          <w:p w14:paraId="332A44F1" w14:textId="25F82744" w:rsidR="00327201" w:rsidRPr="00873992" w:rsidRDefault="00576758" w:rsidP="00DB73FF">
            <w:pPr>
              <w:pStyle w:val="Level1Body"/>
              <w:jc w:val="left"/>
              <w:rPr>
                <w:rFonts w:cs="Arial"/>
              </w:rPr>
            </w:pPr>
            <w:r w:rsidRPr="00873992">
              <w:rPr>
                <w:rFonts w:cs="Arial"/>
              </w:rPr>
              <w:t xml:space="preserve">The Network Manager may be required to provide </w:t>
            </w:r>
            <w:r w:rsidR="00465D29" w:rsidRPr="00873992">
              <w:rPr>
                <w:rFonts w:cs="Arial"/>
              </w:rPr>
              <w:t xml:space="preserve">Artificial Intelligence (AI) Machine Learning (ML) detection capabilities to meet uptime requirements. </w:t>
            </w:r>
          </w:p>
        </w:tc>
      </w:tr>
      <w:tr w:rsidR="0015078F" w:rsidRPr="00873992" w14:paraId="60D83835" w14:textId="77777777" w:rsidTr="0006541E">
        <w:tc>
          <w:tcPr>
            <w:tcW w:w="1067" w:type="dxa"/>
          </w:tcPr>
          <w:p w14:paraId="4EB59618" w14:textId="6F0CBCE2" w:rsidR="00327201" w:rsidRPr="00873992" w:rsidRDefault="00327201" w:rsidP="00327201">
            <w:pPr>
              <w:pStyle w:val="Level1Body"/>
              <w:jc w:val="left"/>
              <w:rPr>
                <w:rFonts w:cs="Arial"/>
              </w:rPr>
            </w:pPr>
            <w:r w:rsidRPr="00873992">
              <w:rPr>
                <w:rFonts w:cs="Arial"/>
              </w:rPr>
              <w:t>33.</w:t>
            </w:r>
          </w:p>
        </w:tc>
        <w:tc>
          <w:tcPr>
            <w:tcW w:w="1762" w:type="dxa"/>
          </w:tcPr>
          <w:p w14:paraId="274BED43" w14:textId="00172AC2" w:rsidR="00327201" w:rsidRPr="00873992" w:rsidRDefault="00327201" w:rsidP="00327201">
            <w:pPr>
              <w:pStyle w:val="Level1Body"/>
              <w:jc w:val="left"/>
              <w:rPr>
                <w:rFonts w:cs="Arial"/>
              </w:rPr>
            </w:pPr>
            <w:r w:rsidRPr="00873992">
              <w:rPr>
                <w:rFonts w:cs="Arial"/>
              </w:rPr>
              <w:t>V.R – Penalty</w:t>
            </w:r>
          </w:p>
        </w:tc>
        <w:tc>
          <w:tcPr>
            <w:tcW w:w="1042" w:type="dxa"/>
          </w:tcPr>
          <w:p w14:paraId="26D9F550" w14:textId="13D0113F" w:rsidR="00327201" w:rsidRPr="00873992" w:rsidRDefault="00327201" w:rsidP="00327201">
            <w:pPr>
              <w:pStyle w:val="Level1Body"/>
              <w:jc w:val="left"/>
              <w:rPr>
                <w:rFonts w:cs="Arial"/>
              </w:rPr>
            </w:pPr>
            <w:r w:rsidRPr="00873992">
              <w:rPr>
                <w:rFonts w:cs="Arial"/>
              </w:rPr>
              <w:t>39</w:t>
            </w:r>
          </w:p>
        </w:tc>
        <w:tc>
          <w:tcPr>
            <w:tcW w:w="2714" w:type="dxa"/>
          </w:tcPr>
          <w:p w14:paraId="12A4CCF7" w14:textId="30325D47" w:rsidR="00327201" w:rsidRPr="00873992" w:rsidRDefault="00327201" w:rsidP="00327201">
            <w:pPr>
              <w:pStyle w:val="Level1Body"/>
              <w:jc w:val="left"/>
              <w:rPr>
                <w:rFonts w:cs="Arial"/>
              </w:rPr>
            </w:pPr>
            <w:r w:rsidRPr="00873992">
              <w:rPr>
                <w:rFonts w:cs="Arial"/>
              </w:rPr>
              <w:t>Provide performance requirements during DDoS attacks and security scanning operations.</w:t>
            </w:r>
          </w:p>
        </w:tc>
        <w:tc>
          <w:tcPr>
            <w:tcW w:w="2765" w:type="dxa"/>
          </w:tcPr>
          <w:p w14:paraId="1A892C27" w14:textId="77777777" w:rsidR="00ED7E3F" w:rsidRPr="00873992" w:rsidRDefault="00C3181F" w:rsidP="00DB73FF">
            <w:pPr>
              <w:pStyle w:val="Level1Body"/>
              <w:jc w:val="left"/>
              <w:rPr>
                <w:rFonts w:cs="Arial"/>
              </w:rPr>
            </w:pPr>
            <w:r w:rsidRPr="00873992">
              <w:rPr>
                <w:rFonts w:cs="Arial"/>
                <w:color w:val="auto"/>
              </w:rPr>
              <w:t xml:space="preserve">The Network Manager will maintain and comply with a plan for performance monitoring and problem resolution that ensures </w:t>
            </w:r>
            <w:r w:rsidRPr="00873992">
              <w:rPr>
                <w:rFonts w:cs="Arial"/>
              </w:rPr>
              <w:t>the Portal is operational 24 hours a day, 7 days a week, allowing for reasonable time for Portal Maintenance</w:t>
            </w:r>
            <w:r w:rsidR="00ED7E3F" w:rsidRPr="00873992">
              <w:rPr>
                <w:rFonts w:cs="Arial"/>
              </w:rPr>
              <w:t xml:space="preserve">, as specified in the RFP. </w:t>
            </w:r>
          </w:p>
          <w:p w14:paraId="111F7E96" w14:textId="61A58925" w:rsidR="00ED7E3F" w:rsidRPr="00873992" w:rsidRDefault="00ED7E3F" w:rsidP="00DB73FF">
            <w:pPr>
              <w:pStyle w:val="Level1Body"/>
              <w:jc w:val="left"/>
              <w:rPr>
                <w:rFonts w:cs="Arial"/>
              </w:rPr>
            </w:pPr>
            <w:r w:rsidRPr="00873992">
              <w:rPr>
                <w:rFonts w:cs="Arial"/>
              </w:rPr>
              <w:t>It is expected that c</w:t>
            </w:r>
            <w:r w:rsidRPr="00873992">
              <w:rPr>
                <w:rFonts w:cs="Arial"/>
                <w:color w:val="auto"/>
              </w:rPr>
              <w:t>ybersecurity be provided</w:t>
            </w:r>
            <w:r w:rsidR="00576758" w:rsidRPr="00873992">
              <w:rPr>
                <w:rFonts w:cs="Arial"/>
                <w:color w:val="auto"/>
              </w:rPr>
              <w:t xml:space="preserve"> by the Network Manager</w:t>
            </w:r>
            <w:r w:rsidRPr="00873992">
              <w:rPr>
                <w:rFonts w:cs="Arial"/>
                <w:color w:val="auto"/>
              </w:rPr>
              <w:t xml:space="preserve"> through leading-edge technology.</w:t>
            </w:r>
          </w:p>
          <w:p w14:paraId="4CC5154D" w14:textId="55469DC5" w:rsidR="00327201" w:rsidRPr="00873992" w:rsidRDefault="00E66478" w:rsidP="00DB73FF">
            <w:pPr>
              <w:pStyle w:val="Level1Body"/>
              <w:jc w:val="left"/>
              <w:rPr>
                <w:rFonts w:cs="Arial"/>
              </w:rPr>
            </w:pPr>
            <w:r w:rsidRPr="00873992">
              <w:rPr>
                <w:rFonts w:cs="Arial"/>
              </w:rPr>
              <w:t xml:space="preserve">The Penalty provisions </w:t>
            </w:r>
            <w:r w:rsidR="00E03FA8" w:rsidRPr="00873992">
              <w:rPr>
                <w:rFonts w:cs="Arial"/>
              </w:rPr>
              <w:t xml:space="preserve">in the RFP </w:t>
            </w:r>
            <w:r w:rsidRPr="00873992">
              <w:rPr>
                <w:rFonts w:cs="Arial"/>
              </w:rPr>
              <w:t xml:space="preserve">apply to loss of functionality for DDoS attacks and security scanning operations. </w:t>
            </w:r>
          </w:p>
          <w:p w14:paraId="5757DD78" w14:textId="2F96BE9D" w:rsidR="00E03FA8" w:rsidRPr="00873992" w:rsidRDefault="00391C64" w:rsidP="00DB73FF">
            <w:pPr>
              <w:pStyle w:val="Level1Body"/>
              <w:jc w:val="left"/>
              <w:rPr>
                <w:rFonts w:cs="Arial"/>
              </w:rPr>
            </w:pPr>
            <w:r w:rsidRPr="00873992">
              <w:rPr>
                <w:rFonts w:cs="Arial"/>
                <w:color w:val="auto"/>
              </w:rPr>
              <w:t xml:space="preserve">The Network Manager will conduct monthly vulnerability scans of all </w:t>
            </w:r>
            <w:r w:rsidRPr="00873992">
              <w:rPr>
                <w:rFonts w:cs="Arial"/>
                <w:color w:val="auto"/>
              </w:rPr>
              <w:lastRenderedPageBreak/>
              <w:t>Partner websites and applications, and penetration tests when requested by a Partner or the NSRB. The Network Manager will provide results of such scans and tests to the Partner or NSRB upon re</w:t>
            </w:r>
            <w:r w:rsidR="000C32FF" w:rsidRPr="00873992">
              <w:rPr>
                <w:rFonts w:cs="Arial"/>
                <w:color w:val="auto"/>
              </w:rPr>
              <w:t>q</w:t>
            </w:r>
            <w:r w:rsidRPr="00873992">
              <w:rPr>
                <w:rFonts w:cs="Arial"/>
                <w:color w:val="auto"/>
              </w:rPr>
              <w:t>uest</w:t>
            </w:r>
            <w:r w:rsidR="000C32FF" w:rsidRPr="00873992">
              <w:rPr>
                <w:rFonts w:cs="Arial"/>
                <w:color w:val="auto"/>
              </w:rPr>
              <w:t>.</w:t>
            </w:r>
            <w:r w:rsidR="001908B0" w:rsidRPr="00873992">
              <w:rPr>
                <w:rFonts w:cs="Arial"/>
                <w:color w:val="auto"/>
              </w:rPr>
              <w:t xml:space="preserve"> </w:t>
            </w:r>
            <w:r w:rsidR="00ED7E3F" w:rsidRPr="00873992">
              <w:rPr>
                <w:rFonts w:cs="Arial"/>
              </w:rPr>
              <w:t>In responding to RTM 15 in Attachment A</w:t>
            </w:r>
            <w:r w:rsidR="00576758" w:rsidRPr="00873992">
              <w:rPr>
                <w:rFonts w:cs="Arial"/>
              </w:rPr>
              <w:t xml:space="preserve"> of the RFP</w:t>
            </w:r>
            <w:r w:rsidR="00ED7E3F" w:rsidRPr="00873992">
              <w:rPr>
                <w:rFonts w:cs="Arial"/>
              </w:rPr>
              <w:t xml:space="preserve">, the Bidder should describe how Bidder will provide notifications </w:t>
            </w:r>
            <w:r w:rsidR="00576758" w:rsidRPr="00873992">
              <w:rPr>
                <w:rFonts w:cs="Arial"/>
              </w:rPr>
              <w:t>to the NSRB and Partners when</w:t>
            </w:r>
            <w:r w:rsidR="00ED7E3F" w:rsidRPr="00873992">
              <w:rPr>
                <w:rFonts w:cs="Arial"/>
              </w:rPr>
              <w:t xml:space="preserve"> Portal services are experiencing performance issues or loss of functionality.</w:t>
            </w:r>
          </w:p>
        </w:tc>
      </w:tr>
      <w:tr w:rsidR="0015078F" w:rsidRPr="00873992" w14:paraId="44C85159" w14:textId="77777777" w:rsidTr="0006541E">
        <w:tc>
          <w:tcPr>
            <w:tcW w:w="1067" w:type="dxa"/>
          </w:tcPr>
          <w:p w14:paraId="6135665E" w14:textId="0B359417" w:rsidR="00327201" w:rsidRPr="00873992" w:rsidRDefault="00327201" w:rsidP="00327201">
            <w:pPr>
              <w:pStyle w:val="Level1Body"/>
              <w:jc w:val="left"/>
              <w:rPr>
                <w:rFonts w:cs="Arial"/>
              </w:rPr>
            </w:pPr>
            <w:r w:rsidRPr="00873992">
              <w:rPr>
                <w:rFonts w:cs="Arial"/>
              </w:rPr>
              <w:lastRenderedPageBreak/>
              <w:t>34.</w:t>
            </w:r>
          </w:p>
        </w:tc>
        <w:tc>
          <w:tcPr>
            <w:tcW w:w="1762" w:type="dxa"/>
          </w:tcPr>
          <w:p w14:paraId="58A50ACD" w14:textId="5A950DBA" w:rsidR="00327201" w:rsidRPr="00873992" w:rsidRDefault="00327201" w:rsidP="00327201">
            <w:pPr>
              <w:pStyle w:val="Level1Body"/>
              <w:jc w:val="left"/>
              <w:rPr>
                <w:rFonts w:cs="Arial"/>
              </w:rPr>
            </w:pPr>
            <w:r w:rsidRPr="00873992">
              <w:rPr>
                <w:rFonts w:cs="Arial"/>
              </w:rPr>
              <w:t>V.K – Technical Overview</w:t>
            </w:r>
          </w:p>
        </w:tc>
        <w:tc>
          <w:tcPr>
            <w:tcW w:w="1042" w:type="dxa"/>
          </w:tcPr>
          <w:p w14:paraId="4E9C2E77" w14:textId="233C8A17" w:rsidR="00327201" w:rsidRPr="00873992" w:rsidRDefault="00327201" w:rsidP="00327201">
            <w:pPr>
              <w:pStyle w:val="Level1Body"/>
              <w:jc w:val="left"/>
              <w:rPr>
                <w:rFonts w:cs="Arial"/>
              </w:rPr>
            </w:pPr>
            <w:r w:rsidRPr="00873992">
              <w:rPr>
                <w:rFonts w:cs="Arial"/>
              </w:rPr>
              <w:t>35</w:t>
            </w:r>
          </w:p>
        </w:tc>
        <w:tc>
          <w:tcPr>
            <w:tcW w:w="2714" w:type="dxa"/>
          </w:tcPr>
          <w:p w14:paraId="58AF7CD2" w14:textId="648A4EF3" w:rsidR="00327201" w:rsidRPr="00873992" w:rsidRDefault="00327201" w:rsidP="00327201">
            <w:pPr>
              <w:pStyle w:val="Level1Body"/>
              <w:jc w:val="left"/>
              <w:rPr>
                <w:rFonts w:cs="Arial"/>
              </w:rPr>
            </w:pPr>
            <w:r w:rsidRPr="00873992">
              <w:rPr>
                <w:rFonts w:cs="Arial"/>
              </w:rPr>
              <w:t xml:space="preserve">Describe </w:t>
            </w:r>
            <w:bookmarkStart w:id="2" w:name="_Hlk209638928"/>
            <w:r w:rsidRPr="00873992">
              <w:rPr>
                <w:rFonts w:cs="Arial"/>
              </w:rPr>
              <w:t>peak surge capacity requirements (e.g., 10x normal load during tax deadlines</w:t>
            </w:r>
            <w:bookmarkEnd w:id="2"/>
            <w:r w:rsidRPr="00873992">
              <w:rPr>
                <w:rFonts w:cs="Arial"/>
              </w:rPr>
              <w:t>).</w:t>
            </w:r>
          </w:p>
        </w:tc>
        <w:tc>
          <w:tcPr>
            <w:tcW w:w="2765" w:type="dxa"/>
          </w:tcPr>
          <w:p w14:paraId="3EDB0CAF" w14:textId="4B4033C1" w:rsidR="00576758" w:rsidRPr="00873992" w:rsidRDefault="00576758" w:rsidP="00DB73FF">
            <w:pPr>
              <w:pStyle w:val="Level1Body"/>
              <w:jc w:val="left"/>
              <w:rPr>
                <w:rFonts w:cs="Arial"/>
              </w:rPr>
            </w:pPr>
            <w:r w:rsidRPr="00873992">
              <w:rPr>
                <w:rFonts w:cs="Arial"/>
              </w:rPr>
              <w:t>Regular increases in traffic occur during certain times of the year for all service</w:t>
            </w:r>
            <w:r w:rsidR="00391C64" w:rsidRPr="00873992">
              <w:rPr>
                <w:rFonts w:cs="Arial"/>
              </w:rPr>
              <w:t>s</w:t>
            </w:r>
            <w:r w:rsidR="008E2FD9" w:rsidRPr="00873992">
              <w:rPr>
                <w:rFonts w:cs="Arial"/>
              </w:rPr>
              <w:t>,</w:t>
            </w:r>
            <w:r w:rsidRPr="00873992">
              <w:rPr>
                <w:rFonts w:cs="Arial"/>
              </w:rPr>
              <w:t xml:space="preserve"> and p</w:t>
            </w:r>
            <w:r w:rsidR="00965EFB" w:rsidRPr="00873992">
              <w:rPr>
                <w:rFonts w:cs="Arial"/>
              </w:rPr>
              <w:t>eak surge times vary by Partner</w:t>
            </w:r>
            <w:r w:rsidR="00CE26CE" w:rsidRPr="00873992">
              <w:rPr>
                <w:rFonts w:cs="Arial"/>
              </w:rPr>
              <w:t xml:space="preserve"> application</w:t>
            </w:r>
            <w:r w:rsidRPr="00873992">
              <w:rPr>
                <w:rFonts w:cs="Arial"/>
              </w:rPr>
              <w:t xml:space="preserve">. </w:t>
            </w:r>
            <w:r w:rsidR="00605BCC" w:rsidRPr="00873992">
              <w:rPr>
                <w:rFonts w:cs="Arial"/>
              </w:rPr>
              <w:t xml:space="preserve">The Network Manager will discuss these surge times with the NSRB and relevant Partner on a project-by-project basis and reasonably manage resources to maintain Portal operations and application performance.   </w:t>
            </w:r>
          </w:p>
          <w:p w14:paraId="77B2C107" w14:textId="77777777" w:rsidR="00327201" w:rsidRPr="00873992" w:rsidRDefault="007E5744" w:rsidP="00DB73FF">
            <w:pPr>
              <w:pStyle w:val="Level1Body"/>
              <w:jc w:val="left"/>
              <w:rPr>
                <w:rFonts w:cs="Arial"/>
              </w:rPr>
            </w:pPr>
            <w:r w:rsidRPr="00873992">
              <w:rPr>
                <w:rFonts w:cs="Arial"/>
              </w:rPr>
              <w:t xml:space="preserve">Annual load tests will be completed by the Network </w:t>
            </w:r>
            <w:r w:rsidR="008D0D48" w:rsidRPr="00873992">
              <w:rPr>
                <w:rFonts w:cs="Arial"/>
              </w:rPr>
              <w:t>Manager,</w:t>
            </w:r>
            <w:r w:rsidRPr="00873992">
              <w:rPr>
                <w:rFonts w:cs="Arial"/>
              </w:rPr>
              <w:t xml:space="preserve"> and a report will be given to the applicable Partner </w:t>
            </w:r>
            <w:r w:rsidR="00907851" w:rsidRPr="00873992">
              <w:rPr>
                <w:rFonts w:cs="Arial"/>
              </w:rPr>
              <w:t xml:space="preserve">or NSRB </w:t>
            </w:r>
            <w:r w:rsidRPr="00873992">
              <w:rPr>
                <w:rFonts w:cs="Arial"/>
              </w:rPr>
              <w:t xml:space="preserve">upon request. </w:t>
            </w:r>
            <w:r w:rsidR="00576758" w:rsidRPr="00873992">
              <w:rPr>
                <w:rFonts w:cs="Arial"/>
              </w:rPr>
              <w:t>W</w:t>
            </w:r>
            <w:r w:rsidRPr="00873992">
              <w:rPr>
                <w:rFonts w:cs="Arial"/>
              </w:rPr>
              <w:t xml:space="preserve">ebsite and application performance </w:t>
            </w:r>
            <w:r w:rsidR="00576758" w:rsidRPr="00873992">
              <w:rPr>
                <w:rFonts w:cs="Arial"/>
              </w:rPr>
              <w:t xml:space="preserve">must be </w:t>
            </w:r>
            <w:r w:rsidR="00907851" w:rsidRPr="00873992">
              <w:rPr>
                <w:rFonts w:cs="Arial"/>
              </w:rPr>
              <w:t xml:space="preserve">consistent with a Tier IV datacenter. </w:t>
            </w:r>
          </w:p>
          <w:p w14:paraId="5F546C37" w14:textId="0025F4ED" w:rsidR="00A261F9" w:rsidRPr="00873992" w:rsidRDefault="00A261F9" w:rsidP="00DB73FF">
            <w:pPr>
              <w:pStyle w:val="Level1Body"/>
              <w:jc w:val="left"/>
              <w:rPr>
                <w:rFonts w:cs="Arial"/>
              </w:rPr>
            </w:pPr>
            <w:r w:rsidRPr="00873992">
              <w:rPr>
                <w:rFonts w:cs="Arial"/>
              </w:rPr>
              <w:t xml:space="preserve">The Network Manager will cooperate with Partners to set up analytics tools for websites and applications and provide access to such tools upon request of the Partner or NSRB. </w:t>
            </w:r>
          </w:p>
        </w:tc>
      </w:tr>
      <w:tr w:rsidR="0015078F" w:rsidRPr="00873992" w14:paraId="44DEAB3C" w14:textId="77777777" w:rsidTr="0006541E">
        <w:tc>
          <w:tcPr>
            <w:tcW w:w="1067" w:type="dxa"/>
          </w:tcPr>
          <w:p w14:paraId="2DEB12A8" w14:textId="725EBC42" w:rsidR="00327201" w:rsidRPr="00873992" w:rsidRDefault="00327201" w:rsidP="00327201">
            <w:pPr>
              <w:pStyle w:val="Level1Body"/>
              <w:jc w:val="left"/>
              <w:rPr>
                <w:rFonts w:cs="Arial"/>
              </w:rPr>
            </w:pPr>
            <w:r w:rsidRPr="00873992">
              <w:rPr>
                <w:rFonts w:cs="Arial"/>
              </w:rPr>
              <w:t>35.</w:t>
            </w:r>
          </w:p>
        </w:tc>
        <w:tc>
          <w:tcPr>
            <w:tcW w:w="1762" w:type="dxa"/>
          </w:tcPr>
          <w:p w14:paraId="2E37912C" w14:textId="58213CCA" w:rsidR="00327201" w:rsidRPr="00873992" w:rsidRDefault="00327201" w:rsidP="00327201">
            <w:pPr>
              <w:pStyle w:val="Level1Body"/>
              <w:jc w:val="left"/>
              <w:rPr>
                <w:rFonts w:cs="Arial"/>
              </w:rPr>
            </w:pPr>
            <w:r w:rsidRPr="00873992">
              <w:rPr>
                <w:rFonts w:cs="Arial"/>
              </w:rPr>
              <w:t>V.O – Transition Plan Requirements</w:t>
            </w:r>
          </w:p>
        </w:tc>
        <w:tc>
          <w:tcPr>
            <w:tcW w:w="1042" w:type="dxa"/>
          </w:tcPr>
          <w:p w14:paraId="24C90C2B" w14:textId="0E260766" w:rsidR="00327201" w:rsidRPr="00873992" w:rsidRDefault="00327201" w:rsidP="00327201">
            <w:pPr>
              <w:pStyle w:val="Level1Body"/>
              <w:jc w:val="left"/>
              <w:rPr>
                <w:rFonts w:cs="Arial"/>
              </w:rPr>
            </w:pPr>
            <w:r w:rsidRPr="00873992">
              <w:rPr>
                <w:rFonts w:cs="Arial"/>
              </w:rPr>
              <w:t>38</w:t>
            </w:r>
          </w:p>
        </w:tc>
        <w:tc>
          <w:tcPr>
            <w:tcW w:w="2714" w:type="dxa"/>
          </w:tcPr>
          <w:p w14:paraId="4FE49687" w14:textId="63F68AC0" w:rsidR="00327201" w:rsidRPr="00873992" w:rsidRDefault="00327201" w:rsidP="00327201">
            <w:pPr>
              <w:pStyle w:val="Level1Body"/>
              <w:jc w:val="left"/>
              <w:rPr>
                <w:rFonts w:cs="Arial"/>
              </w:rPr>
            </w:pPr>
            <w:r w:rsidRPr="00873992">
              <w:rPr>
                <w:rFonts w:cs="Arial"/>
              </w:rPr>
              <w:t>List services requiring zero-downtime migration from the incumbent.</w:t>
            </w:r>
          </w:p>
        </w:tc>
        <w:tc>
          <w:tcPr>
            <w:tcW w:w="2765" w:type="dxa"/>
          </w:tcPr>
          <w:p w14:paraId="21F7971E" w14:textId="03E6D3DB" w:rsidR="00FB3332" w:rsidRPr="00873992" w:rsidRDefault="00FB3332" w:rsidP="00DB73FF">
            <w:pPr>
              <w:pStyle w:val="Level1Body"/>
              <w:jc w:val="left"/>
              <w:rPr>
                <w:rFonts w:cs="Arial"/>
              </w:rPr>
            </w:pPr>
            <w:r w:rsidRPr="00873992">
              <w:rPr>
                <w:rFonts w:cs="Arial"/>
              </w:rPr>
              <w:t xml:space="preserve">The Network Manager must provide a transition plan within 30 days of the commencement date of the Contract to assume responsibility as the Network Manager.  </w:t>
            </w:r>
          </w:p>
          <w:p w14:paraId="0F6F88C5" w14:textId="63B7CAF2" w:rsidR="00327201" w:rsidRPr="00873992" w:rsidRDefault="00C70240" w:rsidP="00DB73FF">
            <w:pPr>
              <w:pStyle w:val="Level1Body"/>
              <w:jc w:val="left"/>
              <w:rPr>
                <w:rFonts w:cs="Arial"/>
              </w:rPr>
            </w:pPr>
            <w:r w:rsidRPr="00873992">
              <w:rPr>
                <w:rFonts w:cs="Arial"/>
              </w:rPr>
              <w:t>The Network Manager must transition services with no interruptions or service degradation</w:t>
            </w:r>
            <w:r w:rsidR="00FB3332" w:rsidRPr="00873992">
              <w:rPr>
                <w:rFonts w:cs="Arial"/>
              </w:rPr>
              <w:t>.  Any exceptions to this requirement would need to be approved by the Partner</w:t>
            </w:r>
            <w:r w:rsidR="003A565D" w:rsidRPr="00873992">
              <w:rPr>
                <w:rFonts w:cs="Arial"/>
              </w:rPr>
              <w:t xml:space="preserve"> on a project-by-project basis. </w:t>
            </w:r>
          </w:p>
        </w:tc>
      </w:tr>
      <w:tr w:rsidR="0015078F" w:rsidRPr="00873992" w14:paraId="40E66E17" w14:textId="77777777" w:rsidTr="0006541E">
        <w:tc>
          <w:tcPr>
            <w:tcW w:w="1067" w:type="dxa"/>
          </w:tcPr>
          <w:p w14:paraId="1A26C754" w14:textId="250F3878" w:rsidR="00327201" w:rsidRPr="00873992" w:rsidRDefault="00327201" w:rsidP="00327201">
            <w:pPr>
              <w:pStyle w:val="Level1Body"/>
              <w:jc w:val="left"/>
              <w:rPr>
                <w:rFonts w:cs="Arial"/>
              </w:rPr>
            </w:pPr>
            <w:r w:rsidRPr="00873992">
              <w:rPr>
                <w:rFonts w:cs="Arial"/>
              </w:rPr>
              <w:t>36.</w:t>
            </w:r>
          </w:p>
        </w:tc>
        <w:tc>
          <w:tcPr>
            <w:tcW w:w="1762" w:type="dxa"/>
          </w:tcPr>
          <w:p w14:paraId="5CB9A5D9" w14:textId="649A2E5D" w:rsidR="00327201" w:rsidRPr="00873992" w:rsidRDefault="00327201" w:rsidP="00327201">
            <w:pPr>
              <w:pStyle w:val="Level1Body"/>
              <w:jc w:val="left"/>
              <w:rPr>
                <w:rFonts w:cs="Arial"/>
              </w:rPr>
            </w:pPr>
            <w:r w:rsidRPr="00873992">
              <w:rPr>
                <w:rFonts w:cs="Arial"/>
              </w:rPr>
              <w:t>V.D – Current Financing Model</w:t>
            </w:r>
          </w:p>
        </w:tc>
        <w:tc>
          <w:tcPr>
            <w:tcW w:w="1042" w:type="dxa"/>
          </w:tcPr>
          <w:p w14:paraId="591C68D9" w14:textId="09F19B20" w:rsidR="00327201" w:rsidRPr="00873992" w:rsidRDefault="00327201" w:rsidP="00327201">
            <w:pPr>
              <w:pStyle w:val="Level1Body"/>
              <w:jc w:val="left"/>
              <w:rPr>
                <w:rFonts w:cs="Arial"/>
              </w:rPr>
            </w:pPr>
            <w:r w:rsidRPr="00873992">
              <w:rPr>
                <w:rFonts w:cs="Arial"/>
              </w:rPr>
              <w:t>27</w:t>
            </w:r>
          </w:p>
        </w:tc>
        <w:tc>
          <w:tcPr>
            <w:tcW w:w="2714" w:type="dxa"/>
          </w:tcPr>
          <w:p w14:paraId="31EF1FB4" w14:textId="14D8DF56" w:rsidR="00327201" w:rsidRPr="00873992" w:rsidRDefault="00327201" w:rsidP="00327201">
            <w:pPr>
              <w:pStyle w:val="Level1Body"/>
              <w:jc w:val="left"/>
              <w:rPr>
                <w:rFonts w:cs="Arial"/>
              </w:rPr>
            </w:pPr>
            <w:r w:rsidRPr="00873992">
              <w:rPr>
                <w:rFonts w:cs="Arial"/>
              </w:rPr>
              <w:t>Describe acceptable vendor risk allocation for collection failures and fraud losses.</w:t>
            </w:r>
          </w:p>
        </w:tc>
        <w:tc>
          <w:tcPr>
            <w:tcW w:w="2765" w:type="dxa"/>
          </w:tcPr>
          <w:p w14:paraId="3DA0122F" w14:textId="5ACD06C5" w:rsidR="00327201" w:rsidRPr="00873992" w:rsidRDefault="00A931B4" w:rsidP="00DB73FF">
            <w:pPr>
              <w:pStyle w:val="Level1Body"/>
              <w:jc w:val="left"/>
              <w:rPr>
                <w:rFonts w:cs="Arial"/>
              </w:rPr>
            </w:pPr>
            <w:r w:rsidRPr="00873992">
              <w:rPr>
                <w:rFonts w:cs="Arial"/>
              </w:rPr>
              <w:t>See V.E.3.</w:t>
            </w:r>
            <w:r w:rsidR="002D176A" w:rsidRPr="00873992">
              <w:rPr>
                <w:rFonts w:cs="Arial"/>
              </w:rPr>
              <w:t xml:space="preserve">h., V.E.3.i., and V.E.3.m.  See also II. M. </w:t>
            </w:r>
          </w:p>
        </w:tc>
      </w:tr>
      <w:tr w:rsidR="0015078F" w:rsidRPr="00873992" w14:paraId="40D75835" w14:textId="77777777" w:rsidTr="0006541E">
        <w:tc>
          <w:tcPr>
            <w:tcW w:w="1067" w:type="dxa"/>
          </w:tcPr>
          <w:p w14:paraId="0C47A292" w14:textId="6B3937AD" w:rsidR="00327201" w:rsidRPr="00873992" w:rsidRDefault="00327201" w:rsidP="00327201">
            <w:pPr>
              <w:pStyle w:val="Level1Body"/>
              <w:jc w:val="left"/>
              <w:rPr>
                <w:rFonts w:cs="Arial"/>
              </w:rPr>
            </w:pPr>
            <w:r w:rsidRPr="00873992">
              <w:rPr>
                <w:rFonts w:cs="Arial"/>
              </w:rPr>
              <w:lastRenderedPageBreak/>
              <w:t>37.</w:t>
            </w:r>
          </w:p>
        </w:tc>
        <w:tc>
          <w:tcPr>
            <w:tcW w:w="1762" w:type="dxa"/>
          </w:tcPr>
          <w:p w14:paraId="33347975" w14:textId="1EB77B66" w:rsidR="00327201" w:rsidRPr="00873992" w:rsidRDefault="00327201" w:rsidP="00327201">
            <w:pPr>
              <w:pStyle w:val="Level1Body"/>
              <w:jc w:val="left"/>
              <w:rPr>
                <w:rFonts w:cs="Arial"/>
              </w:rPr>
            </w:pPr>
            <w:r w:rsidRPr="00873992">
              <w:rPr>
                <w:rFonts w:cs="Arial"/>
              </w:rPr>
              <w:t>V.J – Regulation of Portal Fees</w:t>
            </w:r>
          </w:p>
        </w:tc>
        <w:tc>
          <w:tcPr>
            <w:tcW w:w="1042" w:type="dxa"/>
          </w:tcPr>
          <w:p w14:paraId="7F243CBD" w14:textId="0005BBB8" w:rsidR="00327201" w:rsidRPr="00873992" w:rsidRDefault="00327201" w:rsidP="00327201">
            <w:pPr>
              <w:pStyle w:val="Level1Body"/>
              <w:jc w:val="left"/>
              <w:rPr>
                <w:rFonts w:cs="Arial"/>
              </w:rPr>
            </w:pPr>
            <w:r w:rsidRPr="00873992">
              <w:rPr>
                <w:rFonts w:cs="Arial"/>
              </w:rPr>
              <w:t>34</w:t>
            </w:r>
          </w:p>
        </w:tc>
        <w:tc>
          <w:tcPr>
            <w:tcW w:w="2714" w:type="dxa"/>
          </w:tcPr>
          <w:p w14:paraId="2C3B2A8E" w14:textId="76FF3624" w:rsidR="00327201" w:rsidRPr="00873992" w:rsidRDefault="00327201" w:rsidP="00327201">
            <w:pPr>
              <w:pStyle w:val="Level1Body"/>
              <w:jc w:val="left"/>
              <w:rPr>
                <w:rFonts w:cs="Arial"/>
              </w:rPr>
            </w:pPr>
            <w:r w:rsidRPr="00873992">
              <w:rPr>
                <w:rFonts w:cs="Arial"/>
              </w:rPr>
              <w:t>Provide alternative fee structures Partners have requested beyond the 80/20 model.</w:t>
            </w:r>
          </w:p>
        </w:tc>
        <w:tc>
          <w:tcPr>
            <w:tcW w:w="2765" w:type="dxa"/>
          </w:tcPr>
          <w:p w14:paraId="74DC41DB" w14:textId="4E6DD909" w:rsidR="00327201" w:rsidRPr="00873992" w:rsidRDefault="009D121D" w:rsidP="00DB73FF">
            <w:pPr>
              <w:pStyle w:val="Level1Body"/>
              <w:jc w:val="left"/>
              <w:rPr>
                <w:rFonts w:cs="Arial"/>
              </w:rPr>
            </w:pPr>
            <w:r w:rsidRPr="00873992">
              <w:rPr>
                <w:rFonts w:cs="Arial"/>
              </w:rPr>
              <w:t xml:space="preserve">The 80/20 split </w:t>
            </w:r>
            <w:r w:rsidR="00147F4B" w:rsidRPr="00873992">
              <w:rPr>
                <w:rFonts w:cs="Arial"/>
              </w:rPr>
              <w:t>applies to the Portal Fees which are split</w:t>
            </w:r>
            <w:r w:rsidRPr="00873992">
              <w:rPr>
                <w:rFonts w:cs="Arial"/>
              </w:rPr>
              <w:t xml:space="preserve"> between the Network Manager and the NSRB. </w:t>
            </w:r>
            <w:r w:rsidR="00B208BB" w:rsidRPr="00873992">
              <w:rPr>
                <w:rFonts w:cs="Arial"/>
              </w:rPr>
              <w:t xml:space="preserve">Partners have not requested alternative fee structures. </w:t>
            </w:r>
          </w:p>
        </w:tc>
      </w:tr>
      <w:tr w:rsidR="0015078F" w:rsidRPr="00873992" w14:paraId="6F1280B7" w14:textId="77777777" w:rsidTr="0006541E">
        <w:tc>
          <w:tcPr>
            <w:tcW w:w="1067" w:type="dxa"/>
          </w:tcPr>
          <w:p w14:paraId="5390E0AF" w14:textId="2622FD0F" w:rsidR="00327201" w:rsidRPr="00873992" w:rsidRDefault="00327201" w:rsidP="00327201">
            <w:pPr>
              <w:pStyle w:val="Level1Body"/>
              <w:jc w:val="left"/>
              <w:rPr>
                <w:rFonts w:cs="Arial"/>
              </w:rPr>
            </w:pPr>
            <w:r w:rsidRPr="00873992">
              <w:rPr>
                <w:rFonts w:cs="Arial"/>
              </w:rPr>
              <w:t>38.</w:t>
            </w:r>
          </w:p>
        </w:tc>
        <w:tc>
          <w:tcPr>
            <w:tcW w:w="1762" w:type="dxa"/>
          </w:tcPr>
          <w:p w14:paraId="78087EB9" w14:textId="7BED406C" w:rsidR="00327201" w:rsidRPr="00873992" w:rsidRDefault="00327201" w:rsidP="00327201">
            <w:pPr>
              <w:pStyle w:val="Level1Body"/>
              <w:jc w:val="left"/>
              <w:rPr>
                <w:rFonts w:cs="Arial"/>
              </w:rPr>
            </w:pPr>
            <w:r w:rsidRPr="00873992">
              <w:rPr>
                <w:rFonts w:cs="Arial"/>
              </w:rPr>
              <w:t>V.H – Performance and Strategic Planning</w:t>
            </w:r>
          </w:p>
        </w:tc>
        <w:tc>
          <w:tcPr>
            <w:tcW w:w="1042" w:type="dxa"/>
          </w:tcPr>
          <w:p w14:paraId="78F287A6" w14:textId="57CD6FBC" w:rsidR="00327201" w:rsidRPr="00873992" w:rsidRDefault="00327201" w:rsidP="00327201">
            <w:pPr>
              <w:pStyle w:val="Level1Body"/>
              <w:jc w:val="left"/>
              <w:rPr>
                <w:rFonts w:cs="Arial"/>
              </w:rPr>
            </w:pPr>
            <w:r w:rsidRPr="00873992">
              <w:rPr>
                <w:rFonts w:cs="Arial"/>
              </w:rPr>
              <w:t>32</w:t>
            </w:r>
          </w:p>
        </w:tc>
        <w:tc>
          <w:tcPr>
            <w:tcW w:w="2714" w:type="dxa"/>
          </w:tcPr>
          <w:p w14:paraId="0B4AE2AB" w14:textId="7F446CEA" w:rsidR="00327201" w:rsidRPr="00873992" w:rsidRDefault="00327201" w:rsidP="00327201">
            <w:pPr>
              <w:pStyle w:val="Level1Body"/>
              <w:jc w:val="left"/>
              <w:rPr>
                <w:rFonts w:cs="Arial"/>
              </w:rPr>
            </w:pPr>
            <w:r w:rsidRPr="00873992">
              <w:rPr>
                <w:rFonts w:cs="Arial"/>
              </w:rPr>
              <w:t>List measurable Nebraska economic impact metrics the Network Manager must achieve.</w:t>
            </w:r>
          </w:p>
        </w:tc>
        <w:tc>
          <w:tcPr>
            <w:tcW w:w="2765" w:type="dxa"/>
          </w:tcPr>
          <w:p w14:paraId="52E67B3C" w14:textId="33B09C20" w:rsidR="00327201" w:rsidRPr="00873992" w:rsidRDefault="00B208BB" w:rsidP="00DB73FF">
            <w:pPr>
              <w:pStyle w:val="Level1Body"/>
              <w:jc w:val="left"/>
              <w:rPr>
                <w:rFonts w:cs="Arial"/>
              </w:rPr>
            </w:pPr>
            <w:r w:rsidRPr="00873992">
              <w:rPr>
                <w:rFonts w:cs="Arial"/>
              </w:rPr>
              <w:t>The Portal operates primarily using a self-funding model, without increasing the tax burden on the citizens of Nebraska</w:t>
            </w:r>
            <w:r w:rsidR="008E2FD9" w:rsidRPr="00873992">
              <w:rPr>
                <w:rFonts w:cs="Arial"/>
              </w:rPr>
              <w:t>,</w:t>
            </w:r>
            <w:r w:rsidRPr="00873992">
              <w:rPr>
                <w:rFonts w:cs="Arial"/>
              </w:rPr>
              <w:t xml:space="preserve"> and leverages </w:t>
            </w:r>
            <w:r w:rsidR="008E2FD9" w:rsidRPr="00873992">
              <w:rPr>
                <w:rFonts w:cs="Arial"/>
              </w:rPr>
              <w:t>revenue-generating</w:t>
            </w:r>
            <w:r w:rsidRPr="00873992">
              <w:rPr>
                <w:rFonts w:cs="Arial"/>
              </w:rPr>
              <w:t xml:space="preserve"> services to provide funding for </w:t>
            </w:r>
            <w:r w:rsidR="008E2FD9" w:rsidRPr="00873992">
              <w:rPr>
                <w:rFonts w:cs="Arial"/>
              </w:rPr>
              <w:t>non-revenue-generating</w:t>
            </w:r>
            <w:r w:rsidRPr="00873992">
              <w:rPr>
                <w:rFonts w:cs="Arial"/>
              </w:rPr>
              <w:t xml:space="preserve"> services.  Additional m</w:t>
            </w:r>
            <w:r w:rsidR="003D53F9" w:rsidRPr="00873992">
              <w:rPr>
                <w:rFonts w:cs="Arial"/>
              </w:rPr>
              <w:t xml:space="preserve">etrics may be established through development, review, and approval of the Network Manager’s annual business plan.  </w:t>
            </w:r>
          </w:p>
        </w:tc>
      </w:tr>
      <w:tr w:rsidR="0015078F" w:rsidRPr="00873992" w14:paraId="562C8677" w14:textId="77777777" w:rsidTr="0006541E">
        <w:tc>
          <w:tcPr>
            <w:tcW w:w="1067" w:type="dxa"/>
          </w:tcPr>
          <w:p w14:paraId="73EF2954" w14:textId="12A4D820" w:rsidR="00327201" w:rsidRPr="00873992" w:rsidRDefault="00327201" w:rsidP="00327201">
            <w:pPr>
              <w:pStyle w:val="Level1Body"/>
              <w:jc w:val="left"/>
              <w:rPr>
                <w:rFonts w:cs="Arial"/>
              </w:rPr>
            </w:pPr>
            <w:r w:rsidRPr="00873992">
              <w:rPr>
                <w:rFonts w:cs="Arial"/>
              </w:rPr>
              <w:t>39.</w:t>
            </w:r>
          </w:p>
        </w:tc>
        <w:tc>
          <w:tcPr>
            <w:tcW w:w="1762" w:type="dxa"/>
          </w:tcPr>
          <w:p w14:paraId="39116BC2" w14:textId="71D2DCBA" w:rsidR="00327201" w:rsidRPr="00873992" w:rsidRDefault="00327201" w:rsidP="00327201">
            <w:pPr>
              <w:pStyle w:val="Level1Body"/>
              <w:jc w:val="left"/>
              <w:rPr>
                <w:rFonts w:cs="Arial"/>
              </w:rPr>
            </w:pPr>
            <w:r w:rsidRPr="00873992">
              <w:rPr>
                <w:rFonts w:cs="Arial"/>
              </w:rPr>
              <w:t>V.K.9 – Data Security Requirements</w:t>
            </w:r>
          </w:p>
        </w:tc>
        <w:tc>
          <w:tcPr>
            <w:tcW w:w="1042" w:type="dxa"/>
          </w:tcPr>
          <w:p w14:paraId="6C5FCF36" w14:textId="416AC687" w:rsidR="00327201" w:rsidRPr="00873992" w:rsidRDefault="00327201" w:rsidP="00327201">
            <w:pPr>
              <w:pStyle w:val="Level1Body"/>
              <w:jc w:val="left"/>
              <w:rPr>
                <w:rFonts w:cs="Arial"/>
              </w:rPr>
            </w:pPr>
            <w:r w:rsidRPr="00873992">
              <w:rPr>
                <w:rFonts w:cs="Arial"/>
              </w:rPr>
              <w:t>36</w:t>
            </w:r>
          </w:p>
        </w:tc>
        <w:tc>
          <w:tcPr>
            <w:tcW w:w="2714" w:type="dxa"/>
          </w:tcPr>
          <w:p w14:paraId="329D2D60" w14:textId="384F05BB" w:rsidR="00327201" w:rsidRPr="00873992" w:rsidRDefault="00327201" w:rsidP="00327201">
            <w:pPr>
              <w:pStyle w:val="Level1Body"/>
              <w:jc w:val="left"/>
              <w:rPr>
                <w:rFonts w:cs="Arial"/>
              </w:rPr>
            </w:pPr>
            <w:r w:rsidRPr="00873992">
              <w:rPr>
                <w:rFonts w:cs="Arial"/>
              </w:rPr>
              <w:t>Describe IRS Publication 1075 requirements for state tax data handling.</w:t>
            </w:r>
          </w:p>
        </w:tc>
        <w:tc>
          <w:tcPr>
            <w:tcW w:w="2765" w:type="dxa"/>
          </w:tcPr>
          <w:p w14:paraId="52E27EEF" w14:textId="60EB0A12" w:rsidR="00327201" w:rsidRPr="00873992" w:rsidRDefault="009B5FC0" w:rsidP="00DB73FF">
            <w:pPr>
              <w:pStyle w:val="Level1Body"/>
              <w:jc w:val="left"/>
              <w:rPr>
                <w:rFonts w:cs="Arial"/>
              </w:rPr>
            </w:pPr>
            <w:r w:rsidRPr="00873992">
              <w:rPr>
                <w:rFonts w:cs="Arial"/>
              </w:rPr>
              <w:t>Publication 1075, Tax Information Security Guidelines for Federal, State</w:t>
            </w:r>
            <w:r w:rsidR="008E2FD9" w:rsidRPr="00873992">
              <w:rPr>
                <w:rFonts w:cs="Arial"/>
              </w:rPr>
              <w:t>,</w:t>
            </w:r>
            <w:r w:rsidRPr="00873992">
              <w:rPr>
                <w:rFonts w:cs="Arial"/>
              </w:rPr>
              <w:t xml:space="preserve"> and Local Agencies</w:t>
            </w:r>
            <w:r w:rsidR="008E2FD9" w:rsidRPr="00873992">
              <w:rPr>
                <w:rFonts w:cs="Arial"/>
              </w:rPr>
              <w:t>,</w:t>
            </w:r>
            <w:r w:rsidRPr="00873992">
              <w:rPr>
                <w:rFonts w:cs="Arial"/>
              </w:rPr>
              <w:t xml:space="preserve"> provides guidance to ensure the policies, practices, controls, and safeguards employed by recipient agencies, agents, or contractors adequately protect the confidentiality of Federal Tax Information (FTI).</w:t>
            </w:r>
            <w:r w:rsidR="00B208BB" w:rsidRPr="00873992">
              <w:rPr>
                <w:rFonts w:cs="Arial"/>
              </w:rPr>
              <w:t xml:space="preserve">  The selected Vendor will discuss these requirements with the relevant Partner on a project-by-project basis and comply as specified by Partner.  </w:t>
            </w:r>
          </w:p>
        </w:tc>
      </w:tr>
      <w:tr w:rsidR="0015078F" w:rsidRPr="00873992" w14:paraId="1B494940" w14:textId="77777777" w:rsidTr="0006541E">
        <w:tc>
          <w:tcPr>
            <w:tcW w:w="1067" w:type="dxa"/>
          </w:tcPr>
          <w:p w14:paraId="1A9C95CC" w14:textId="074F4F09" w:rsidR="00327201" w:rsidRPr="00873992" w:rsidRDefault="00327201" w:rsidP="00327201">
            <w:pPr>
              <w:pStyle w:val="Level1Body"/>
              <w:jc w:val="left"/>
              <w:rPr>
                <w:rFonts w:cs="Arial"/>
              </w:rPr>
            </w:pPr>
            <w:r w:rsidRPr="00873992">
              <w:rPr>
                <w:rFonts w:cs="Arial"/>
              </w:rPr>
              <w:t>40.</w:t>
            </w:r>
          </w:p>
        </w:tc>
        <w:tc>
          <w:tcPr>
            <w:tcW w:w="1762" w:type="dxa"/>
          </w:tcPr>
          <w:p w14:paraId="042B71FA" w14:textId="108680CB" w:rsidR="00327201" w:rsidRPr="00873992" w:rsidRDefault="00327201" w:rsidP="00327201">
            <w:pPr>
              <w:pStyle w:val="Level1Body"/>
              <w:jc w:val="left"/>
              <w:rPr>
                <w:rFonts w:cs="Arial"/>
              </w:rPr>
            </w:pPr>
            <w:r w:rsidRPr="00873992">
              <w:rPr>
                <w:rFonts w:cs="Arial"/>
              </w:rPr>
              <w:t>V.K.9 – Data Security Requirements</w:t>
            </w:r>
          </w:p>
        </w:tc>
        <w:tc>
          <w:tcPr>
            <w:tcW w:w="1042" w:type="dxa"/>
          </w:tcPr>
          <w:p w14:paraId="11C04682" w14:textId="130797BB" w:rsidR="00327201" w:rsidRPr="00873992" w:rsidRDefault="00327201" w:rsidP="00327201">
            <w:pPr>
              <w:pStyle w:val="Level1Body"/>
              <w:jc w:val="left"/>
              <w:rPr>
                <w:rFonts w:cs="Arial"/>
              </w:rPr>
            </w:pPr>
            <w:r w:rsidRPr="00873992">
              <w:rPr>
                <w:rFonts w:cs="Arial"/>
              </w:rPr>
              <w:t>36</w:t>
            </w:r>
          </w:p>
        </w:tc>
        <w:tc>
          <w:tcPr>
            <w:tcW w:w="2714" w:type="dxa"/>
          </w:tcPr>
          <w:p w14:paraId="185DB608" w14:textId="2554AC50" w:rsidR="00327201" w:rsidRPr="00873992" w:rsidRDefault="00327201" w:rsidP="00327201">
            <w:pPr>
              <w:pStyle w:val="Level1Body"/>
              <w:jc w:val="left"/>
              <w:rPr>
                <w:rFonts w:cs="Arial"/>
              </w:rPr>
            </w:pPr>
            <w:r w:rsidRPr="00873992">
              <w:rPr>
                <w:rFonts w:cs="Arial"/>
              </w:rPr>
              <w:t>Provide HIPAA-covered entities using Portal services and their specific needs.</w:t>
            </w:r>
          </w:p>
        </w:tc>
        <w:tc>
          <w:tcPr>
            <w:tcW w:w="2765" w:type="dxa"/>
          </w:tcPr>
          <w:p w14:paraId="5E1D0B59" w14:textId="2A685BDC" w:rsidR="00327201" w:rsidRPr="00873992" w:rsidRDefault="00391ABE" w:rsidP="00DB73FF">
            <w:pPr>
              <w:pStyle w:val="Level1Body"/>
              <w:jc w:val="left"/>
              <w:rPr>
                <w:rFonts w:cs="Arial"/>
              </w:rPr>
            </w:pPr>
            <w:r w:rsidRPr="00873992">
              <w:rPr>
                <w:rFonts w:cs="Arial"/>
              </w:rPr>
              <w:t>Health Insurance Portability and Accountability Act</w:t>
            </w:r>
            <w:r w:rsidR="001E7631" w:rsidRPr="00873992">
              <w:rPr>
                <w:rFonts w:cs="Arial"/>
              </w:rPr>
              <w:t xml:space="preserve"> (HIPAA) covered entities that use Portal services include, but are not limited to, the Department of Health and Human Services (DHHS)</w:t>
            </w:r>
            <w:r w:rsidR="00E844AC" w:rsidRPr="00873992">
              <w:rPr>
                <w:rFonts w:cs="Arial"/>
              </w:rPr>
              <w:t xml:space="preserve">, </w:t>
            </w:r>
            <w:r w:rsidR="001E7631" w:rsidRPr="00873992">
              <w:rPr>
                <w:rFonts w:cs="Arial"/>
              </w:rPr>
              <w:t xml:space="preserve">the Department of </w:t>
            </w:r>
            <w:r w:rsidR="008E2FD9" w:rsidRPr="00873992">
              <w:rPr>
                <w:rFonts w:cs="Arial"/>
              </w:rPr>
              <w:t>Veterans’</w:t>
            </w:r>
            <w:r w:rsidR="001E7631" w:rsidRPr="00873992">
              <w:rPr>
                <w:rFonts w:cs="Arial"/>
              </w:rPr>
              <w:t xml:space="preserve"> Affairs (NDVA), </w:t>
            </w:r>
            <w:r w:rsidR="00E844AC" w:rsidRPr="00873992">
              <w:rPr>
                <w:rFonts w:cs="Arial"/>
              </w:rPr>
              <w:t>and local government health departments</w:t>
            </w:r>
            <w:r w:rsidR="001E7631" w:rsidRPr="00873992">
              <w:rPr>
                <w:rFonts w:cs="Arial"/>
              </w:rPr>
              <w:t xml:space="preserve">. </w:t>
            </w:r>
            <w:r w:rsidR="00E844AC" w:rsidRPr="00873992">
              <w:rPr>
                <w:rFonts w:cs="Arial"/>
              </w:rPr>
              <w:t xml:space="preserve">Appendix A </w:t>
            </w:r>
            <w:r w:rsidR="000270B8" w:rsidRPr="00873992">
              <w:rPr>
                <w:rFonts w:cs="Arial"/>
              </w:rPr>
              <w:t xml:space="preserve">to the RFP </w:t>
            </w:r>
            <w:r w:rsidR="00E844AC" w:rsidRPr="00873992">
              <w:rPr>
                <w:rFonts w:cs="Arial"/>
              </w:rPr>
              <w:t xml:space="preserve">provides a list of services these agencies </w:t>
            </w:r>
            <w:r w:rsidR="00655939" w:rsidRPr="00873992">
              <w:rPr>
                <w:rFonts w:cs="Arial"/>
              </w:rPr>
              <w:t xml:space="preserve">currently </w:t>
            </w:r>
            <w:r w:rsidR="00E844AC" w:rsidRPr="00873992">
              <w:rPr>
                <w:rFonts w:cs="Arial"/>
              </w:rPr>
              <w:t xml:space="preserve">have in </w:t>
            </w:r>
            <w:r w:rsidR="00655939" w:rsidRPr="00873992">
              <w:rPr>
                <w:rFonts w:cs="Arial"/>
              </w:rPr>
              <w:t>the Portal</w:t>
            </w:r>
            <w:r w:rsidR="00E844AC" w:rsidRPr="00873992">
              <w:rPr>
                <w:rFonts w:cs="Arial"/>
              </w:rPr>
              <w:t xml:space="preserve">.  Health information may also be submitted </w:t>
            </w:r>
            <w:r w:rsidR="00751A89" w:rsidRPr="00873992">
              <w:rPr>
                <w:rFonts w:cs="Arial"/>
              </w:rPr>
              <w:t xml:space="preserve">to other Partners </w:t>
            </w:r>
            <w:r w:rsidR="00E844AC" w:rsidRPr="00873992">
              <w:rPr>
                <w:rFonts w:cs="Arial"/>
              </w:rPr>
              <w:t xml:space="preserve">through a variety of Portal services. </w:t>
            </w:r>
            <w:r w:rsidR="00B208BB" w:rsidRPr="00873992">
              <w:rPr>
                <w:rFonts w:cs="Arial"/>
              </w:rPr>
              <w:t xml:space="preserve"> The selected Vendor will discuss these requirements with the relevant Partner on a project-by-project basis and comply as specified by Partner.  </w:t>
            </w:r>
          </w:p>
        </w:tc>
      </w:tr>
      <w:tr w:rsidR="0015078F" w:rsidRPr="00873992" w14:paraId="21E0B642" w14:textId="77777777" w:rsidTr="0006541E">
        <w:tc>
          <w:tcPr>
            <w:tcW w:w="1067" w:type="dxa"/>
          </w:tcPr>
          <w:p w14:paraId="2E60793E" w14:textId="11712F77" w:rsidR="00327201" w:rsidRPr="00873992" w:rsidRDefault="00327201" w:rsidP="00327201">
            <w:pPr>
              <w:pStyle w:val="Level1Body"/>
              <w:jc w:val="left"/>
              <w:rPr>
                <w:rFonts w:cs="Arial"/>
              </w:rPr>
            </w:pPr>
            <w:r w:rsidRPr="00873992">
              <w:rPr>
                <w:rFonts w:cs="Arial"/>
              </w:rPr>
              <w:t>41.</w:t>
            </w:r>
          </w:p>
        </w:tc>
        <w:tc>
          <w:tcPr>
            <w:tcW w:w="1762" w:type="dxa"/>
          </w:tcPr>
          <w:p w14:paraId="4617FB04" w14:textId="25490694" w:rsidR="00327201" w:rsidRPr="00873992" w:rsidRDefault="00327201" w:rsidP="00327201">
            <w:pPr>
              <w:pStyle w:val="Level1Body"/>
              <w:jc w:val="left"/>
              <w:rPr>
                <w:rFonts w:cs="Arial"/>
              </w:rPr>
            </w:pPr>
            <w:r w:rsidRPr="00873992">
              <w:rPr>
                <w:rFonts w:cs="Arial"/>
              </w:rPr>
              <w:t>V.K.1 – Infrastructure</w:t>
            </w:r>
          </w:p>
        </w:tc>
        <w:tc>
          <w:tcPr>
            <w:tcW w:w="1042" w:type="dxa"/>
          </w:tcPr>
          <w:p w14:paraId="2105AAD6" w14:textId="7D8E1AA1" w:rsidR="00327201" w:rsidRPr="00873992" w:rsidRDefault="00327201" w:rsidP="00327201">
            <w:pPr>
              <w:pStyle w:val="Level1Body"/>
              <w:jc w:val="left"/>
              <w:rPr>
                <w:rFonts w:cs="Arial"/>
              </w:rPr>
            </w:pPr>
            <w:r w:rsidRPr="00873992">
              <w:rPr>
                <w:rFonts w:cs="Arial"/>
              </w:rPr>
              <w:t>35</w:t>
            </w:r>
          </w:p>
        </w:tc>
        <w:tc>
          <w:tcPr>
            <w:tcW w:w="2714" w:type="dxa"/>
          </w:tcPr>
          <w:p w14:paraId="71779A2C" w14:textId="4FA07B8A" w:rsidR="00327201" w:rsidRPr="00873992" w:rsidRDefault="00327201" w:rsidP="00327201">
            <w:pPr>
              <w:pStyle w:val="Level1Body"/>
              <w:jc w:val="left"/>
              <w:rPr>
                <w:rFonts w:cs="Arial"/>
              </w:rPr>
            </w:pPr>
            <w:r w:rsidRPr="00873992">
              <w:rPr>
                <w:rFonts w:cs="Arial"/>
              </w:rPr>
              <w:t>List data residency requirements for primary and disaster recovery sites.</w:t>
            </w:r>
          </w:p>
        </w:tc>
        <w:tc>
          <w:tcPr>
            <w:tcW w:w="2765" w:type="dxa"/>
          </w:tcPr>
          <w:p w14:paraId="6B456603" w14:textId="77777777" w:rsidR="00327201" w:rsidRPr="00873992" w:rsidRDefault="00DB6AF7" w:rsidP="00DB73FF">
            <w:pPr>
              <w:pStyle w:val="Level1Body"/>
              <w:jc w:val="left"/>
              <w:rPr>
                <w:rFonts w:cs="Arial"/>
              </w:rPr>
            </w:pPr>
            <w:r w:rsidRPr="00873992">
              <w:rPr>
                <w:rFonts w:cs="Arial"/>
              </w:rPr>
              <w:t>Data storage, replication, and backup services must be located in the United States.</w:t>
            </w:r>
          </w:p>
          <w:p w14:paraId="0EEE505A" w14:textId="77777777" w:rsidR="00357773" w:rsidRPr="00873992" w:rsidRDefault="00357773" w:rsidP="00DB73FF">
            <w:pPr>
              <w:pStyle w:val="Level1Body"/>
              <w:jc w:val="left"/>
              <w:rPr>
                <w:rFonts w:cs="Arial"/>
              </w:rPr>
            </w:pPr>
          </w:p>
          <w:p w14:paraId="1462804D" w14:textId="76F7F846" w:rsidR="00357773" w:rsidRPr="00873992" w:rsidRDefault="00250AF8" w:rsidP="00DB73FF">
            <w:pPr>
              <w:pStyle w:val="Level1Body"/>
              <w:jc w:val="left"/>
              <w:rPr>
                <w:rFonts w:cs="Arial"/>
              </w:rPr>
            </w:pPr>
            <w:r w:rsidRPr="00873992">
              <w:rPr>
                <w:rFonts w:cs="Arial"/>
              </w:rPr>
              <w:lastRenderedPageBreak/>
              <w:t xml:space="preserve">The </w:t>
            </w:r>
            <w:r w:rsidR="00AD3996" w:rsidRPr="00873992">
              <w:rPr>
                <w:rFonts w:cs="Arial"/>
              </w:rPr>
              <w:t>Network Manager will create, document, and regularly test Portal backup, failover, and disaster recovery procedures</w:t>
            </w:r>
            <w:r w:rsidRPr="00873992">
              <w:rPr>
                <w:rFonts w:cs="Arial"/>
              </w:rPr>
              <w:t xml:space="preserve">. </w:t>
            </w:r>
            <w:r w:rsidR="00357773" w:rsidRPr="00873992">
              <w:rPr>
                <w:rFonts w:cs="Arial"/>
              </w:rPr>
              <w:t xml:space="preserve">The Network Manager will conduct disaster recovery tests (including testing of the backup restoration process) at least </w:t>
            </w:r>
            <w:r w:rsidR="008D0D48" w:rsidRPr="00873992">
              <w:rPr>
                <w:rFonts w:cs="Arial"/>
              </w:rPr>
              <w:t>annually</w:t>
            </w:r>
            <w:r w:rsidR="008E2FD9" w:rsidRPr="00873992">
              <w:rPr>
                <w:rFonts w:cs="Arial"/>
              </w:rPr>
              <w:t>,</w:t>
            </w:r>
            <w:r w:rsidR="008D0D48" w:rsidRPr="00873992">
              <w:rPr>
                <w:rFonts w:cs="Arial"/>
              </w:rPr>
              <w:t xml:space="preserve"> and</w:t>
            </w:r>
            <w:r w:rsidR="00357773" w:rsidRPr="00873992">
              <w:rPr>
                <w:rFonts w:cs="Arial"/>
              </w:rPr>
              <w:t xml:space="preserve"> provide the NSRB or </w:t>
            </w:r>
            <w:r w:rsidR="008D0D48" w:rsidRPr="00873992">
              <w:rPr>
                <w:rFonts w:cs="Arial"/>
              </w:rPr>
              <w:t>Partners with</w:t>
            </w:r>
            <w:r w:rsidR="00357773" w:rsidRPr="00873992">
              <w:rPr>
                <w:rFonts w:cs="Arial"/>
              </w:rPr>
              <w:t xml:space="preserve"> a report on such tests and </w:t>
            </w:r>
            <w:r w:rsidR="008D0D48" w:rsidRPr="00873992">
              <w:rPr>
                <w:rFonts w:cs="Arial"/>
              </w:rPr>
              <w:t>processes</w:t>
            </w:r>
            <w:r w:rsidR="00357773" w:rsidRPr="00873992">
              <w:rPr>
                <w:rFonts w:cs="Arial"/>
              </w:rPr>
              <w:t xml:space="preserve"> upon request.  </w:t>
            </w:r>
          </w:p>
        </w:tc>
      </w:tr>
      <w:tr w:rsidR="0015078F" w:rsidRPr="00873992" w14:paraId="2E547968" w14:textId="77777777" w:rsidTr="0006541E">
        <w:tc>
          <w:tcPr>
            <w:tcW w:w="1067" w:type="dxa"/>
          </w:tcPr>
          <w:p w14:paraId="7DA9E9A5" w14:textId="4BE47713" w:rsidR="00327201" w:rsidRPr="00873992" w:rsidRDefault="00327201" w:rsidP="00327201">
            <w:pPr>
              <w:pStyle w:val="Level1Body"/>
              <w:jc w:val="left"/>
              <w:rPr>
                <w:rFonts w:cs="Arial"/>
              </w:rPr>
            </w:pPr>
            <w:r w:rsidRPr="00873992">
              <w:rPr>
                <w:rFonts w:cs="Arial"/>
              </w:rPr>
              <w:lastRenderedPageBreak/>
              <w:t>42.</w:t>
            </w:r>
          </w:p>
        </w:tc>
        <w:tc>
          <w:tcPr>
            <w:tcW w:w="1762" w:type="dxa"/>
          </w:tcPr>
          <w:p w14:paraId="7A755C38" w14:textId="015B703F" w:rsidR="00327201" w:rsidRPr="00873992" w:rsidRDefault="00327201" w:rsidP="00327201">
            <w:pPr>
              <w:pStyle w:val="Level1Body"/>
              <w:jc w:val="left"/>
              <w:rPr>
                <w:rFonts w:cs="Arial"/>
              </w:rPr>
            </w:pPr>
            <w:r w:rsidRPr="00873992">
              <w:rPr>
                <w:rFonts w:cs="Arial"/>
              </w:rPr>
              <w:t>V.E – Infrastructure</w:t>
            </w:r>
          </w:p>
        </w:tc>
        <w:tc>
          <w:tcPr>
            <w:tcW w:w="1042" w:type="dxa"/>
          </w:tcPr>
          <w:p w14:paraId="035FC529" w14:textId="2BEDD0C4" w:rsidR="00327201" w:rsidRPr="00873992" w:rsidRDefault="00327201" w:rsidP="00327201">
            <w:pPr>
              <w:pStyle w:val="Level1Body"/>
              <w:jc w:val="left"/>
              <w:rPr>
                <w:rFonts w:cs="Arial"/>
              </w:rPr>
            </w:pPr>
            <w:r w:rsidRPr="00873992">
              <w:rPr>
                <w:rFonts w:cs="Arial"/>
              </w:rPr>
              <w:t>28</w:t>
            </w:r>
          </w:p>
        </w:tc>
        <w:tc>
          <w:tcPr>
            <w:tcW w:w="2714" w:type="dxa"/>
          </w:tcPr>
          <w:p w14:paraId="0C1B7044" w14:textId="5D6ECBAA" w:rsidR="00327201" w:rsidRPr="00873992" w:rsidRDefault="00327201" w:rsidP="00327201">
            <w:pPr>
              <w:pStyle w:val="Level1Body"/>
              <w:jc w:val="left"/>
              <w:rPr>
                <w:rFonts w:cs="Arial"/>
              </w:rPr>
            </w:pPr>
            <w:r w:rsidRPr="00873992">
              <w:rPr>
                <w:rFonts w:cs="Arial"/>
              </w:rPr>
              <w:t>Describe automated remediation expectations for common operational issues.</w:t>
            </w:r>
          </w:p>
        </w:tc>
        <w:tc>
          <w:tcPr>
            <w:tcW w:w="2765" w:type="dxa"/>
          </w:tcPr>
          <w:p w14:paraId="13AEA74A" w14:textId="0690B27F" w:rsidR="00327201" w:rsidRPr="00873992" w:rsidRDefault="00751A89" w:rsidP="00DB73FF">
            <w:pPr>
              <w:pStyle w:val="Level1Body"/>
              <w:jc w:val="left"/>
              <w:rPr>
                <w:rFonts w:cs="Arial"/>
              </w:rPr>
            </w:pPr>
            <w:r w:rsidRPr="00873992">
              <w:rPr>
                <w:rFonts w:cs="Arial"/>
              </w:rPr>
              <w:t>A</w:t>
            </w:r>
            <w:r w:rsidR="00AD3740" w:rsidRPr="00873992">
              <w:rPr>
                <w:rFonts w:cs="Arial"/>
              </w:rPr>
              <w:t>utomated remediation services may be required during the term of the Contract, if required by the NITC Standards</w:t>
            </w:r>
            <w:r w:rsidRPr="00873992">
              <w:rPr>
                <w:rFonts w:cs="Arial"/>
              </w:rPr>
              <w:t xml:space="preserve"> or if required for Portal operations</w:t>
            </w:r>
            <w:r w:rsidR="00AD3740" w:rsidRPr="00873992">
              <w:rPr>
                <w:rFonts w:cs="Arial"/>
              </w:rPr>
              <w:t xml:space="preserve">. </w:t>
            </w:r>
          </w:p>
        </w:tc>
      </w:tr>
      <w:tr w:rsidR="0015078F" w:rsidRPr="00873992" w14:paraId="164AEAE4" w14:textId="77777777" w:rsidTr="0006541E">
        <w:tc>
          <w:tcPr>
            <w:tcW w:w="1067" w:type="dxa"/>
          </w:tcPr>
          <w:p w14:paraId="13EBD685" w14:textId="60F4F865" w:rsidR="00327201" w:rsidRPr="00873992" w:rsidRDefault="00327201" w:rsidP="00327201">
            <w:pPr>
              <w:pStyle w:val="Level1Body"/>
              <w:jc w:val="left"/>
              <w:rPr>
                <w:rFonts w:cs="Arial"/>
              </w:rPr>
            </w:pPr>
            <w:r w:rsidRPr="00873992">
              <w:rPr>
                <w:rFonts w:cs="Arial"/>
              </w:rPr>
              <w:t>43.</w:t>
            </w:r>
          </w:p>
        </w:tc>
        <w:tc>
          <w:tcPr>
            <w:tcW w:w="1762" w:type="dxa"/>
          </w:tcPr>
          <w:p w14:paraId="599156F3" w14:textId="3619FAE7" w:rsidR="00327201" w:rsidRPr="00873992" w:rsidRDefault="00327201" w:rsidP="00327201">
            <w:pPr>
              <w:pStyle w:val="Level1Body"/>
              <w:jc w:val="left"/>
              <w:rPr>
                <w:rFonts w:cs="Arial"/>
              </w:rPr>
            </w:pPr>
            <w:r w:rsidRPr="00873992">
              <w:rPr>
                <w:rFonts w:cs="Arial"/>
              </w:rPr>
              <w:t>V.R – Penalty</w:t>
            </w:r>
          </w:p>
        </w:tc>
        <w:tc>
          <w:tcPr>
            <w:tcW w:w="1042" w:type="dxa"/>
          </w:tcPr>
          <w:p w14:paraId="37C18FAE" w14:textId="1DBB48DC" w:rsidR="00327201" w:rsidRPr="00873992" w:rsidRDefault="00327201" w:rsidP="00327201">
            <w:pPr>
              <w:pStyle w:val="Level1Body"/>
              <w:jc w:val="left"/>
              <w:rPr>
                <w:rFonts w:cs="Arial"/>
              </w:rPr>
            </w:pPr>
            <w:r w:rsidRPr="00873992">
              <w:rPr>
                <w:rFonts w:cs="Arial"/>
              </w:rPr>
              <w:t>39</w:t>
            </w:r>
          </w:p>
        </w:tc>
        <w:tc>
          <w:tcPr>
            <w:tcW w:w="2714" w:type="dxa"/>
          </w:tcPr>
          <w:p w14:paraId="17B1D32A" w14:textId="34E6EAB4" w:rsidR="00327201" w:rsidRPr="00873992" w:rsidRDefault="00327201" w:rsidP="00327201">
            <w:pPr>
              <w:pStyle w:val="Level1Body"/>
              <w:jc w:val="left"/>
              <w:rPr>
                <w:rFonts w:cs="Arial"/>
              </w:rPr>
            </w:pPr>
            <w:r w:rsidRPr="00873992">
              <w:rPr>
                <w:rFonts w:cs="Arial"/>
              </w:rPr>
              <w:t>Provide SLA requirements beyond uptime: MTTR, MTTD, MTTC, and error rates.</w:t>
            </w:r>
          </w:p>
        </w:tc>
        <w:tc>
          <w:tcPr>
            <w:tcW w:w="2765" w:type="dxa"/>
          </w:tcPr>
          <w:p w14:paraId="1499F9DA" w14:textId="77777777" w:rsidR="00CE1133" w:rsidRPr="00873992" w:rsidRDefault="00CE1133" w:rsidP="00DB73FF">
            <w:pPr>
              <w:pStyle w:val="Level1Body"/>
              <w:jc w:val="left"/>
              <w:rPr>
                <w:rFonts w:cs="Arial"/>
                <w:b/>
                <w:bCs/>
              </w:rPr>
            </w:pPr>
            <w:r w:rsidRPr="00873992">
              <w:rPr>
                <w:rFonts w:cs="Arial"/>
              </w:rPr>
              <w:t xml:space="preserve">The Network Manager will be responsible during the term of the Contract for providing, maintaining, and securing all Portal hardware, software, and infrastructure.  </w:t>
            </w:r>
          </w:p>
          <w:p w14:paraId="1BFEBAA4" w14:textId="0CC4EEB6" w:rsidR="00327201" w:rsidRPr="00873992" w:rsidRDefault="00CE1133" w:rsidP="00DB73FF">
            <w:pPr>
              <w:pStyle w:val="Level1Body"/>
              <w:jc w:val="left"/>
              <w:rPr>
                <w:rFonts w:cs="Arial"/>
              </w:rPr>
            </w:pPr>
            <w:r w:rsidRPr="00873992">
              <w:rPr>
                <w:rFonts w:cs="Arial"/>
              </w:rPr>
              <w:t>P</w:t>
            </w:r>
            <w:r w:rsidR="00167726" w:rsidRPr="00873992">
              <w:rPr>
                <w:rFonts w:cs="Arial"/>
              </w:rPr>
              <w:t xml:space="preserve">lease refer to uptime and Penalty provisions of the RFP. </w:t>
            </w:r>
            <w:r w:rsidR="000B5788" w:rsidRPr="00873992">
              <w:rPr>
                <w:rFonts w:cs="Arial"/>
              </w:rPr>
              <w:t>Bidders should submit with their solicitation response any service level agreement or similar documents that bidder wants incorporated in the Contract</w:t>
            </w:r>
            <w:r w:rsidR="00E53999" w:rsidRPr="00873992">
              <w:rPr>
                <w:rFonts w:cs="Arial"/>
              </w:rPr>
              <w:t xml:space="preserve"> for consideration</w:t>
            </w:r>
            <w:r w:rsidR="000B5788" w:rsidRPr="00873992">
              <w:rPr>
                <w:rFonts w:cs="Arial"/>
              </w:rPr>
              <w:t>.</w:t>
            </w:r>
          </w:p>
        </w:tc>
      </w:tr>
      <w:tr w:rsidR="0015078F" w:rsidRPr="00873992" w14:paraId="2D017252" w14:textId="77777777" w:rsidTr="0006541E">
        <w:tc>
          <w:tcPr>
            <w:tcW w:w="1067" w:type="dxa"/>
          </w:tcPr>
          <w:p w14:paraId="030E3F61" w14:textId="3CB12758" w:rsidR="00327201" w:rsidRPr="00873992" w:rsidRDefault="00327201" w:rsidP="00327201">
            <w:pPr>
              <w:pStyle w:val="Level1Body"/>
              <w:jc w:val="left"/>
              <w:rPr>
                <w:rFonts w:cs="Arial"/>
              </w:rPr>
            </w:pPr>
            <w:r w:rsidRPr="00873992">
              <w:rPr>
                <w:rFonts w:cs="Arial"/>
              </w:rPr>
              <w:t>44.</w:t>
            </w:r>
          </w:p>
        </w:tc>
        <w:tc>
          <w:tcPr>
            <w:tcW w:w="1762" w:type="dxa"/>
          </w:tcPr>
          <w:p w14:paraId="54A21140" w14:textId="60BF6208" w:rsidR="00327201" w:rsidRPr="00873992" w:rsidRDefault="00327201" w:rsidP="00327201">
            <w:pPr>
              <w:pStyle w:val="Level1Body"/>
              <w:jc w:val="left"/>
              <w:rPr>
                <w:rFonts w:cs="Arial"/>
              </w:rPr>
            </w:pPr>
            <w:r w:rsidRPr="00873992">
              <w:rPr>
                <w:rFonts w:cs="Arial"/>
              </w:rPr>
              <w:t>V.O – Transition Plan Requirements</w:t>
            </w:r>
          </w:p>
        </w:tc>
        <w:tc>
          <w:tcPr>
            <w:tcW w:w="1042" w:type="dxa"/>
          </w:tcPr>
          <w:p w14:paraId="687CBA1D" w14:textId="2920B9B4" w:rsidR="00327201" w:rsidRPr="00873992" w:rsidRDefault="00327201" w:rsidP="00327201">
            <w:pPr>
              <w:pStyle w:val="Level1Body"/>
              <w:jc w:val="left"/>
              <w:rPr>
                <w:rFonts w:cs="Arial"/>
              </w:rPr>
            </w:pPr>
            <w:r w:rsidRPr="00873992">
              <w:rPr>
                <w:rFonts w:cs="Arial"/>
              </w:rPr>
              <w:t>38</w:t>
            </w:r>
          </w:p>
        </w:tc>
        <w:tc>
          <w:tcPr>
            <w:tcW w:w="2714" w:type="dxa"/>
          </w:tcPr>
          <w:p w14:paraId="13FCD0AA" w14:textId="6780FE56" w:rsidR="00327201" w:rsidRPr="00873992" w:rsidRDefault="00327201" w:rsidP="00327201">
            <w:pPr>
              <w:pStyle w:val="Level1Body"/>
              <w:jc w:val="left"/>
              <w:rPr>
                <w:rFonts w:cs="Arial"/>
              </w:rPr>
            </w:pPr>
            <w:r w:rsidRPr="00873992">
              <w:rPr>
                <w:rFonts w:cs="Arial"/>
              </w:rPr>
              <w:t>List incumbent system technical debt creating the most operational burden.</w:t>
            </w:r>
          </w:p>
        </w:tc>
        <w:tc>
          <w:tcPr>
            <w:tcW w:w="2765" w:type="dxa"/>
          </w:tcPr>
          <w:p w14:paraId="64DDD356" w14:textId="078EBE5D" w:rsidR="00327201" w:rsidRPr="00873992" w:rsidRDefault="00391ABE" w:rsidP="00DB73FF">
            <w:pPr>
              <w:pStyle w:val="Level1Body"/>
              <w:jc w:val="left"/>
              <w:rPr>
                <w:rFonts w:cs="Arial"/>
                <w:strike/>
              </w:rPr>
            </w:pPr>
            <w:r w:rsidRPr="00873992">
              <w:rPr>
                <w:rFonts w:cs="Arial"/>
              </w:rPr>
              <w:t xml:space="preserve">The meaning of technical debt can vary.  All services provided by the Network Manager must be provided in compliance with the most current version of the State’s NITC Technical Standards and Guidelines (NITC Standards). The NITC Standards are available at: </w:t>
            </w:r>
            <w:hyperlink r:id="rId12" w:history="1">
              <w:r w:rsidR="00A375EE" w:rsidRPr="00873992">
                <w:rPr>
                  <w:rStyle w:val="Hyperlink"/>
                  <w:rFonts w:cs="Arial"/>
                </w:rPr>
                <w:t>https://nitc.nebraska.gov/standards/</w:t>
              </w:r>
            </w:hyperlink>
            <w:r w:rsidR="00A375EE" w:rsidRPr="00873992">
              <w:rPr>
                <w:rFonts w:cs="Arial"/>
              </w:rPr>
              <w:t xml:space="preserve"> </w:t>
            </w:r>
            <w:r w:rsidRPr="00873992">
              <w:rPr>
                <w:rFonts w:cs="Arial"/>
              </w:rPr>
              <w:t>.</w:t>
            </w:r>
            <w:r w:rsidR="00F21A09" w:rsidRPr="00873992">
              <w:rPr>
                <w:rFonts w:cs="Arial"/>
              </w:rPr>
              <w:t xml:space="preserve"> </w:t>
            </w:r>
          </w:p>
        </w:tc>
      </w:tr>
      <w:tr w:rsidR="0015078F" w:rsidRPr="00873992" w14:paraId="65E663AA" w14:textId="77777777" w:rsidTr="0006541E">
        <w:tc>
          <w:tcPr>
            <w:tcW w:w="1067" w:type="dxa"/>
          </w:tcPr>
          <w:p w14:paraId="46967BA5" w14:textId="7C2BFBDA" w:rsidR="00327201" w:rsidRPr="00873992" w:rsidRDefault="00327201" w:rsidP="00327201">
            <w:pPr>
              <w:pStyle w:val="Level1Body"/>
              <w:jc w:val="left"/>
              <w:rPr>
                <w:rFonts w:cs="Arial"/>
              </w:rPr>
            </w:pPr>
            <w:r w:rsidRPr="00873992">
              <w:rPr>
                <w:rFonts w:cs="Arial"/>
              </w:rPr>
              <w:t>45.</w:t>
            </w:r>
          </w:p>
        </w:tc>
        <w:tc>
          <w:tcPr>
            <w:tcW w:w="1762" w:type="dxa"/>
          </w:tcPr>
          <w:p w14:paraId="16123585" w14:textId="501EDBD1" w:rsidR="00327201" w:rsidRPr="00873992" w:rsidRDefault="00327201" w:rsidP="00327201">
            <w:pPr>
              <w:pStyle w:val="Level1Body"/>
              <w:jc w:val="left"/>
              <w:rPr>
                <w:rFonts w:cs="Arial"/>
              </w:rPr>
            </w:pPr>
            <w:r w:rsidRPr="00873992">
              <w:rPr>
                <w:rFonts w:cs="Arial"/>
              </w:rPr>
              <w:t>V.B – Project Objectives</w:t>
            </w:r>
          </w:p>
        </w:tc>
        <w:tc>
          <w:tcPr>
            <w:tcW w:w="1042" w:type="dxa"/>
          </w:tcPr>
          <w:p w14:paraId="539BFB38" w14:textId="4AE3BA64" w:rsidR="00327201" w:rsidRPr="00873992" w:rsidRDefault="00327201" w:rsidP="00327201">
            <w:pPr>
              <w:pStyle w:val="Level1Body"/>
              <w:jc w:val="left"/>
              <w:rPr>
                <w:rFonts w:cs="Arial"/>
              </w:rPr>
            </w:pPr>
            <w:r w:rsidRPr="00873992">
              <w:rPr>
                <w:rFonts w:cs="Arial"/>
              </w:rPr>
              <w:t>26</w:t>
            </w:r>
          </w:p>
        </w:tc>
        <w:tc>
          <w:tcPr>
            <w:tcW w:w="2714" w:type="dxa"/>
          </w:tcPr>
          <w:p w14:paraId="22016D43" w14:textId="1D726386" w:rsidR="00327201" w:rsidRPr="00873992" w:rsidRDefault="00327201" w:rsidP="00327201">
            <w:pPr>
              <w:pStyle w:val="Level1Body"/>
              <w:jc w:val="left"/>
              <w:rPr>
                <w:rFonts w:cs="Arial"/>
              </w:rPr>
            </w:pPr>
            <w:r w:rsidRPr="00873992">
              <w:rPr>
                <w:rFonts w:cs="Arial"/>
              </w:rPr>
              <w:t>Describe pending 2026-2027 legislation affecting Portal services.</w:t>
            </w:r>
          </w:p>
        </w:tc>
        <w:tc>
          <w:tcPr>
            <w:tcW w:w="2765" w:type="dxa"/>
          </w:tcPr>
          <w:p w14:paraId="2BC9559E" w14:textId="7E163A34" w:rsidR="00327201" w:rsidRPr="00873992" w:rsidRDefault="001C0A93" w:rsidP="00DB73FF">
            <w:pPr>
              <w:pStyle w:val="Level1Body"/>
              <w:jc w:val="left"/>
              <w:rPr>
                <w:rFonts w:cs="Arial"/>
              </w:rPr>
            </w:pPr>
            <w:r w:rsidRPr="00873992">
              <w:rPr>
                <w:rFonts w:cs="Arial"/>
              </w:rPr>
              <w:t xml:space="preserve">Currently, there is no pending 2026-2027 legislation. </w:t>
            </w:r>
            <w:r w:rsidR="0051192E" w:rsidRPr="00873992">
              <w:rPr>
                <w:rFonts w:cs="Arial"/>
              </w:rPr>
              <w:t>The 109</w:t>
            </w:r>
            <w:r w:rsidR="0051192E" w:rsidRPr="00873992">
              <w:rPr>
                <w:rFonts w:cs="Arial"/>
                <w:vertAlign w:val="superscript"/>
              </w:rPr>
              <w:t>th</w:t>
            </w:r>
            <w:r w:rsidR="0051192E" w:rsidRPr="00873992">
              <w:rPr>
                <w:rFonts w:cs="Arial"/>
              </w:rPr>
              <w:t xml:space="preserve"> session of </w:t>
            </w:r>
            <w:r w:rsidR="00E36BC2" w:rsidRPr="00873992">
              <w:rPr>
                <w:rFonts w:cs="Arial"/>
              </w:rPr>
              <w:t xml:space="preserve">the </w:t>
            </w:r>
            <w:r w:rsidR="0051192E" w:rsidRPr="00873992">
              <w:rPr>
                <w:rFonts w:cs="Arial"/>
              </w:rPr>
              <w:t xml:space="preserve">Nebraska Legislature convenes on January 7, 2025. Legislation will be introduced during the first 10 days of </w:t>
            </w:r>
            <w:r w:rsidR="00E36BC2" w:rsidRPr="00873992">
              <w:rPr>
                <w:rFonts w:cs="Arial"/>
              </w:rPr>
              <w:t xml:space="preserve">the </w:t>
            </w:r>
            <w:r w:rsidR="0051192E" w:rsidRPr="00873992">
              <w:rPr>
                <w:rFonts w:cs="Arial"/>
              </w:rPr>
              <w:t xml:space="preserve">session. </w:t>
            </w:r>
            <w:r w:rsidRPr="00873992">
              <w:rPr>
                <w:rFonts w:cs="Arial"/>
              </w:rPr>
              <w:t xml:space="preserve">The Network Manager will make changes to Portal services as requested by Partners to accommodate legislative changes in accordance with the operative dates of any such legislation.  </w:t>
            </w:r>
          </w:p>
        </w:tc>
      </w:tr>
      <w:tr w:rsidR="0015078F" w:rsidRPr="00873992" w14:paraId="149EFAD1" w14:textId="77777777" w:rsidTr="0006541E">
        <w:tc>
          <w:tcPr>
            <w:tcW w:w="1067" w:type="dxa"/>
          </w:tcPr>
          <w:p w14:paraId="43C3FCC8" w14:textId="28EA31DD" w:rsidR="00327201" w:rsidRPr="00873992" w:rsidRDefault="00327201" w:rsidP="00327201">
            <w:pPr>
              <w:pStyle w:val="Level1Body"/>
              <w:jc w:val="left"/>
              <w:rPr>
                <w:rFonts w:cs="Arial"/>
              </w:rPr>
            </w:pPr>
            <w:r w:rsidRPr="00873992">
              <w:rPr>
                <w:rFonts w:cs="Arial"/>
              </w:rPr>
              <w:t>46.</w:t>
            </w:r>
          </w:p>
        </w:tc>
        <w:tc>
          <w:tcPr>
            <w:tcW w:w="1762" w:type="dxa"/>
          </w:tcPr>
          <w:p w14:paraId="50C5591A" w14:textId="212C5645" w:rsidR="00327201" w:rsidRPr="00873992" w:rsidRDefault="00327201" w:rsidP="00327201">
            <w:pPr>
              <w:pStyle w:val="Level1Body"/>
              <w:jc w:val="left"/>
              <w:rPr>
                <w:rFonts w:cs="Arial"/>
              </w:rPr>
            </w:pPr>
            <w:r w:rsidRPr="00873992">
              <w:rPr>
                <w:rFonts w:cs="Arial"/>
              </w:rPr>
              <w:t>V.C – Current Portal Operations</w:t>
            </w:r>
          </w:p>
        </w:tc>
        <w:tc>
          <w:tcPr>
            <w:tcW w:w="1042" w:type="dxa"/>
          </w:tcPr>
          <w:p w14:paraId="3DF8091F" w14:textId="3CF66876" w:rsidR="00327201" w:rsidRPr="00873992" w:rsidRDefault="00327201" w:rsidP="00327201">
            <w:pPr>
              <w:pStyle w:val="Level1Body"/>
              <w:jc w:val="left"/>
              <w:rPr>
                <w:rFonts w:cs="Arial"/>
              </w:rPr>
            </w:pPr>
            <w:r w:rsidRPr="00873992">
              <w:rPr>
                <w:rFonts w:cs="Arial"/>
              </w:rPr>
              <w:t>26</w:t>
            </w:r>
          </w:p>
        </w:tc>
        <w:tc>
          <w:tcPr>
            <w:tcW w:w="2714" w:type="dxa"/>
          </w:tcPr>
          <w:p w14:paraId="6F82B975" w14:textId="54125713" w:rsidR="00327201" w:rsidRPr="00873992" w:rsidRDefault="00327201" w:rsidP="00327201">
            <w:pPr>
              <w:pStyle w:val="Level1Body"/>
              <w:jc w:val="left"/>
              <w:rPr>
                <w:rFonts w:cs="Arial"/>
              </w:rPr>
            </w:pPr>
            <w:r w:rsidRPr="00873992">
              <w:rPr>
                <w:rFonts w:cs="Arial"/>
              </w:rPr>
              <w:t>Provide new state agencies or services planned for Portal integration.</w:t>
            </w:r>
          </w:p>
        </w:tc>
        <w:tc>
          <w:tcPr>
            <w:tcW w:w="2765" w:type="dxa"/>
          </w:tcPr>
          <w:p w14:paraId="01D45E44" w14:textId="29F3B453" w:rsidR="00E66478" w:rsidRPr="00873992" w:rsidRDefault="00E66478" w:rsidP="00DB73FF">
            <w:pPr>
              <w:pStyle w:val="Level1Body"/>
              <w:jc w:val="left"/>
              <w:rPr>
                <w:rFonts w:cs="Arial"/>
              </w:rPr>
            </w:pPr>
            <w:r w:rsidRPr="00873992">
              <w:rPr>
                <w:rFonts w:cs="Arial"/>
              </w:rPr>
              <w:t>See V.E.4. of the RFP</w:t>
            </w:r>
            <w:r w:rsidR="00655939" w:rsidRPr="00873992">
              <w:rPr>
                <w:rFonts w:cs="Arial"/>
              </w:rPr>
              <w:t xml:space="preserve">, which addresses the Network Manager’s responsibility to grow the Portal. </w:t>
            </w:r>
          </w:p>
          <w:p w14:paraId="0511BD7C" w14:textId="3C6FBA06" w:rsidR="00327201" w:rsidRPr="00873992" w:rsidRDefault="00623F6F" w:rsidP="00DB73FF">
            <w:pPr>
              <w:pStyle w:val="Level1Body"/>
              <w:jc w:val="left"/>
              <w:rPr>
                <w:rFonts w:cs="Arial"/>
              </w:rPr>
            </w:pPr>
            <w:r w:rsidRPr="00873992">
              <w:rPr>
                <w:rFonts w:cs="Arial"/>
              </w:rPr>
              <w:t xml:space="preserve">New services are regularly added. Partners are consistently seeking </w:t>
            </w:r>
            <w:r w:rsidRPr="00873992">
              <w:rPr>
                <w:rFonts w:cs="Arial"/>
              </w:rPr>
              <w:lastRenderedPageBreak/>
              <w:t xml:space="preserve">to modernize services, and legislation may mandate changes.  </w:t>
            </w:r>
          </w:p>
        </w:tc>
      </w:tr>
      <w:tr w:rsidR="0015078F" w:rsidRPr="00873992" w14:paraId="2C6796D1" w14:textId="77777777" w:rsidTr="0006541E">
        <w:tc>
          <w:tcPr>
            <w:tcW w:w="1067" w:type="dxa"/>
          </w:tcPr>
          <w:p w14:paraId="3440917C" w14:textId="0908139F" w:rsidR="00327201" w:rsidRPr="00873992" w:rsidRDefault="00327201" w:rsidP="00327201">
            <w:pPr>
              <w:pStyle w:val="Level1Body"/>
              <w:jc w:val="left"/>
              <w:rPr>
                <w:rFonts w:cs="Arial"/>
              </w:rPr>
            </w:pPr>
            <w:r w:rsidRPr="00873992">
              <w:rPr>
                <w:rFonts w:cs="Arial"/>
              </w:rPr>
              <w:lastRenderedPageBreak/>
              <w:t>47.</w:t>
            </w:r>
          </w:p>
        </w:tc>
        <w:tc>
          <w:tcPr>
            <w:tcW w:w="1762" w:type="dxa"/>
          </w:tcPr>
          <w:p w14:paraId="2C1A19F0" w14:textId="49A04751" w:rsidR="00327201" w:rsidRPr="00873992" w:rsidRDefault="00327201" w:rsidP="00327201">
            <w:pPr>
              <w:pStyle w:val="Level1Body"/>
              <w:jc w:val="left"/>
              <w:rPr>
                <w:rFonts w:cs="Arial"/>
              </w:rPr>
            </w:pPr>
            <w:r w:rsidRPr="00873992">
              <w:rPr>
                <w:rFonts w:cs="Arial"/>
              </w:rPr>
              <w:t>V.K – Technical Overview</w:t>
            </w:r>
          </w:p>
        </w:tc>
        <w:tc>
          <w:tcPr>
            <w:tcW w:w="1042" w:type="dxa"/>
          </w:tcPr>
          <w:p w14:paraId="0061E881" w14:textId="24DCBADB" w:rsidR="00327201" w:rsidRPr="00873992" w:rsidRDefault="00327201" w:rsidP="00327201">
            <w:pPr>
              <w:pStyle w:val="Level1Body"/>
              <w:jc w:val="left"/>
              <w:rPr>
                <w:rFonts w:cs="Arial"/>
              </w:rPr>
            </w:pPr>
            <w:r w:rsidRPr="00873992">
              <w:rPr>
                <w:rFonts w:cs="Arial"/>
              </w:rPr>
              <w:t>35</w:t>
            </w:r>
          </w:p>
        </w:tc>
        <w:tc>
          <w:tcPr>
            <w:tcW w:w="2714" w:type="dxa"/>
          </w:tcPr>
          <w:p w14:paraId="472147F2" w14:textId="42F92CFD" w:rsidR="00327201" w:rsidRPr="00873992" w:rsidRDefault="00327201" w:rsidP="00327201">
            <w:pPr>
              <w:pStyle w:val="Level1Body"/>
              <w:jc w:val="left"/>
              <w:rPr>
                <w:rFonts w:cs="Arial"/>
              </w:rPr>
            </w:pPr>
            <w:r w:rsidRPr="00873992">
              <w:rPr>
                <w:rFonts w:cs="Arial"/>
              </w:rPr>
              <w:t>List emerging technology capabilities (AI, blockchain, IoT, edge) under consideration.</w:t>
            </w:r>
          </w:p>
        </w:tc>
        <w:tc>
          <w:tcPr>
            <w:tcW w:w="2765" w:type="dxa"/>
          </w:tcPr>
          <w:p w14:paraId="62D1F9C3" w14:textId="1215E987" w:rsidR="00327201" w:rsidRPr="00873992" w:rsidRDefault="001002F0" w:rsidP="00DB73FF">
            <w:pPr>
              <w:pStyle w:val="Level1Body"/>
              <w:jc w:val="left"/>
              <w:rPr>
                <w:rFonts w:cs="Arial"/>
              </w:rPr>
            </w:pPr>
            <w:r w:rsidRPr="00873992">
              <w:rPr>
                <w:rFonts w:cs="Arial"/>
              </w:rPr>
              <w:t xml:space="preserve">The NSRB approved a pilot artificial intelligence (“AI”) project at the March 2025 meeting.  </w:t>
            </w:r>
            <w:r w:rsidR="00BB28DE" w:rsidRPr="00873992">
              <w:rPr>
                <w:rFonts w:cs="Arial"/>
              </w:rPr>
              <w:t>Attachment A</w:t>
            </w:r>
            <w:r w:rsidR="00766790" w:rsidRPr="00873992">
              <w:rPr>
                <w:rFonts w:cs="Arial"/>
              </w:rPr>
              <w:t xml:space="preserve"> to the RFP</w:t>
            </w:r>
            <w:r w:rsidR="00BB28DE" w:rsidRPr="00873992">
              <w:rPr>
                <w:rFonts w:cs="Arial"/>
              </w:rPr>
              <w:t xml:space="preserve">, RTM 25 provides the following: </w:t>
            </w:r>
            <w:r w:rsidR="00BB28DE" w:rsidRPr="00873992">
              <w:rPr>
                <w:rFonts w:cs="Arial"/>
                <w:bCs/>
              </w:rPr>
              <w:t>Bidder must provide suggested new ideas, technologies, and functionality for the Portal. Bidder must also include any terms and conditions and pricing applicable to such suggestions</w:t>
            </w:r>
            <w:r w:rsidR="00E53999" w:rsidRPr="00873992">
              <w:rPr>
                <w:rFonts w:cs="Arial"/>
                <w:bCs/>
              </w:rPr>
              <w:t xml:space="preserve"> for consideration</w:t>
            </w:r>
            <w:r w:rsidR="00BB28DE" w:rsidRPr="00873992">
              <w:rPr>
                <w:rFonts w:cs="Arial"/>
                <w:bCs/>
              </w:rPr>
              <w:t xml:space="preserve">.  </w:t>
            </w:r>
          </w:p>
        </w:tc>
      </w:tr>
      <w:tr w:rsidR="0015078F" w:rsidRPr="00873992" w14:paraId="12D923AA" w14:textId="77777777" w:rsidTr="0006541E">
        <w:tc>
          <w:tcPr>
            <w:tcW w:w="1067" w:type="dxa"/>
          </w:tcPr>
          <w:p w14:paraId="63F24770" w14:textId="4DD939DA" w:rsidR="00327201" w:rsidRPr="00873992" w:rsidRDefault="00327201" w:rsidP="00327201">
            <w:pPr>
              <w:pStyle w:val="Level1Body"/>
              <w:jc w:val="left"/>
              <w:rPr>
                <w:rFonts w:cs="Arial"/>
              </w:rPr>
            </w:pPr>
            <w:r w:rsidRPr="00873992">
              <w:rPr>
                <w:rFonts w:cs="Arial"/>
              </w:rPr>
              <w:t>48.</w:t>
            </w:r>
          </w:p>
        </w:tc>
        <w:tc>
          <w:tcPr>
            <w:tcW w:w="1762" w:type="dxa"/>
          </w:tcPr>
          <w:p w14:paraId="60AB7325" w14:textId="75780133" w:rsidR="00327201" w:rsidRPr="00873992" w:rsidRDefault="00327201" w:rsidP="00327201">
            <w:pPr>
              <w:pStyle w:val="Level1Body"/>
              <w:jc w:val="left"/>
              <w:rPr>
                <w:rFonts w:cs="Arial"/>
              </w:rPr>
            </w:pPr>
            <w:r w:rsidRPr="00873992">
              <w:rPr>
                <w:rFonts w:cs="Arial"/>
              </w:rPr>
              <w:t>V.H – Performance and Strategic Planning</w:t>
            </w:r>
          </w:p>
        </w:tc>
        <w:tc>
          <w:tcPr>
            <w:tcW w:w="1042" w:type="dxa"/>
          </w:tcPr>
          <w:p w14:paraId="2C6D3C04" w14:textId="17D3009C" w:rsidR="00327201" w:rsidRPr="00873992" w:rsidRDefault="00327201" w:rsidP="00327201">
            <w:pPr>
              <w:pStyle w:val="Level1Body"/>
              <w:jc w:val="left"/>
              <w:rPr>
                <w:rFonts w:cs="Arial"/>
              </w:rPr>
            </w:pPr>
            <w:r w:rsidRPr="00873992">
              <w:rPr>
                <w:rFonts w:cs="Arial"/>
              </w:rPr>
              <w:t>32</w:t>
            </w:r>
          </w:p>
        </w:tc>
        <w:tc>
          <w:tcPr>
            <w:tcW w:w="2714" w:type="dxa"/>
          </w:tcPr>
          <w:p w14:paraId="75A43CAB" w14:textId="14CB168C" w:rsidR="00327201" w:rsidRPr="00873992" w:rsidRDefault="00327201" w:rsidP="00327201">
            <w:pPr>
              <w:pStyle w:val="Level1Body"/>
              <w:jc w:val="left"/>
              <w:rPr>
                <w:rFonts w:cs="Arial"/>
              </w:rPr>
            </w:pPr>
            <w:r w:rsidRPr="00873992">
              <w:rPr>
                <w:rFonts w:cs="Arial"/>
              </w:rPr>
              <w:t>Describe what would constitute "exceeding expectations" in your evaluation.</w:t>
            </w:r>
          </w:p>
        </w:tc>
        <w:tc>
          <w:tcPr>
            <w:tcW w:w="2765" w:type="dxa"/>
          </w:tcPr>
          <w:p w14:paraId="38B85672" w14:textId="474AFEF0" w:rsidR="00327201" w:rsidRPr="00873992" w:rsidRDefault="00B81E52" w:rsidP="00DB73FF">
            <w:pPr>
              <w:pStyle w:val="Level1Body"/>
              <w:jc w:val="left"/>
              <w:rPr>
                <w:rFonts w:cs="Arial"/>
              </w:rPr>
            </w:pPr>
            <w:r w:rsidRPr="00873992">
              <w:rPr>
                <w:rFonts w:cs="Arial"/>
              </w:rPr>
              <w:t xml:space="preserve">The State reserves the right to evaluate solicitation responses and award contracts in a manner utilizing criteria selected at the State's discretion and in the State’s best interest.  </w:t>
            </w:r>
            <w:r w:rsidR="00EF4717" w:rsidRPr="00873992">
              <w:rPr>
                <w:rFonts w:cs="Arial"/>
              </w:rPr>
              <w:t>See RFP</w:t>
            </w:r>
            <w:r w:rsidRPr="00873992">
              <w:rPr>
                <w:rFonts w:cs="Arial"/>
              </w:rPr>
              <w:t xml:space="preserve"> sections regarding evaluation</w:t>
            </w:r>
            <w:r w:rsidR="00EF4717" w:rsidRPr="00873992">
              <w:rPr>
                <w:rFonts w:cs="Arial"/>
              </w:rPr>
              <w:t>, including but not limited to, Section I. - O., P., and Q. for Solicitation Requirements, Evaluation Committee, and Evaluation of Solicitation Responses.</w:t>
            </w:r>
          </w:p>
        </w:tc>
      </w:tr>
      <w:tr w:rsidR="0015078F" w:rsidRPr="00873992" w14:paraId="31E267D7" w14:textId="77777777" w:rsidTr="0006541E">
        <w:tc>
          <w:tcPr>
            <w:tcW w:w="1067" w:type="dxa"/>
          </w:tcPr>
          <w:p w14:paraId="3C322FF9" w14:textId="5DB84C47" w:rsidR="00327201" w:rsidRPr="00873992" w:rsidRDefault="00327201" w:rsidP="00327201">
            <w:pPr>
              <w:pStyle w:val="Level1Body"/>
              <w:jc w:val="left"/>
              <w:rPr>
                <w:rFonts w:cs="Arial"/>
              </w:rPr>
            </w:pPr>
            <w:r w:rsidRPr="00873992">
              <w:rPr>
                <w:rFonts w:cs="Arial"/>
              </w:rPr>
              <w:t>49.</w:t>
            </w:r>
          </w:p>
        </w:tc>
        <w:tc>
          <w:tcPr>
            <w:tcW w:w="1762" w:type="dxa"/>
          </w:tcPr>
          <w:p w14:paraId="6C673C52" w14:textId="18CBDC78" w:rsidR="00327201" w:rsidRPr="00873992" w:rsidRDefault="00327201" w:rsidP="00327201">
            <w:pPr>
              <w:pStyle w:val="Level1Body"/>
              <w:jc w:val="left"/>
              <w:rPr>
                <w:rFonts w:cs="Arial"/>
              </w:rPr>
            </w:pPr>
            <w:r w:rsidRPr="00873992">
              <w:rPr>
                <w:rFonts w:cs="Arial"/>
              </w:rPr>
              <w:t>I.X – Vendor Demonstrations</w:t>
            </w:r>
          </w:p>
        </w:tc>
        <w:tc>
          <w:tcPr>
            <w:tcW w:w="1042" w:type="dxa"/>
          </w:tcPr>
          <w:p w14:paraId="4F81FFF6" w14:textId="5FD59898" w:rsidR="00327201" w:rsidRPr="00873992" w:rsidRDefault="00327201" w:rsidP="00327201">
            <w:pPr>
              <w:pStyle w:val="Level1Body"/>
              <w:jc w:val="left"/>
              <w:rPr>
                <w:rFonts w:cs="Arial"/>
              </w:rPr>
            </w:pPr>
            <w:r w:rsidRPr="00873992">
              <w:rPr>
                <w:rFonts w:cs="Arial"/>
              </w:rPr>
              <w:t>15</w:t>
            </w:r>
          </w:p>
        </w:tc>
        <w:tc>
          <w:tcPr>
            <w:tcW w:w="2714" w:type="dxa"/>
          </w:tcPr>
          <w:p w14:paraId="4945690B" w14:textId="204BF77B" w:rsidR="00327201" w:rsidRPr="00873992" w:rsidRDefault="00327201" w:rsidP="00327201">
            <w:pPr>
              <w:pStyle w:val="Level1Body"/>
              <w:jc w:val="left"/>
              <w:rPr>
                <w:rFonts w:cs="Arial"/>
              </w:rPr>
            </w:pPr>
            <w:r w:rsidRPr="00873992">
              <w:rPr>
                <w:rFonts w:cs="Arial"/>
              </w:rPr>
              <w:t>Provide specific proof-of-concept demonstrations.</w:t>
            </w:r>
          </w:p>
        </w:tc>
        <w:tc>
          <w:tcPr>
            <w:tcW w:w="2765" w:type="dxa"/>
          </w:tcPr>
          <w:p w14:paraId="06DB9B53" w14:textId="7C05ECED" w:rsidR="00766790" w:rsidRPr="00873992" w:rsidRDefault="006363EE" w:rsidP="00DB73FF">
            <w:pPr>
              <w:pStyle w:val="Level1Body"/>
              <w:jc w:val="left"/>
              <w:rPr>
                <w:rFonts w:cs="Arial"/>
              </w:rPr>
            </w:pPr>
            <w:r w:rsidRPr="00873992">
              <w:rPr>
                <w:rFonts w:cs="Arial"/>
              </w:rPr>
              <w:t xml:space="preserve">See </w:t>
            </w:r>
            <w:r w:rsidR="00766790" w:rsidRPr="00873992">
              <w:rPr>
                <w:rFonts w:cs="Arial"/>
              </w:rPr>
              <w:t>Section</w:t>
            </w:r>
            <w:r w:rsidRPr="00873992">
              <w:rPr>
                <w:rFonts w:cs="Arial"/>
              </w:rPr>
              <w:t xml:space="preserve"> I.X. </w:t>
            </w:r>
            <w:r w:rsidR="00766790" w:rsidRPr="00873992">
              <w:rPr>
                <w:rFonts w:cs="Arial"/>
              </w:rPr>
              <w:t xml:space="preserve">of the RFP. </w:t>
            </w:r>
            <w:r w:rsidR="001B2E6D" w:rsidRPr="00873992">
              <w:rPr>
                <w:rFonts w:cs="Arial"/>
              </w:rPr>
              <w:t>The State may determine that oral interviews/presentations</w:t>
            </w:r>
            <w:r w:rsidR="002C4096" w:rsidRPr="00873992">
              <w:rPr>
                <w:rFonts w:cs="Arial"/>
              </w:rPr>
              <w:t>,</w:t>
            </w:r>
            <w:r w:rsidR="001B2E6D" w:rsidRPr="00873992">
              <w:rPr>
                <w:rFonts w:cs="Arial"/>
              </w:rPr>
              <w:t xml:space="preserve"> and/or demonstrations are required. Every </w:t>
            </w:r>
            <w:r w:rsidR="00412513" w:rsidRPr="00873992">
              <w:rPr>
                <w:rFonts w:cs="Arial"/>
              </w:rPr>
              <w:t>B</w:t>
            </w:r>
            <w:r w:rsidR="001B2E6D" w:rsidRPr="00873992">
              <w:rPr>
                <w:rFonts w:cs="Arial"/>
              </w:rPr>
              <w:t xml:space="preserve">idder may not be given an opportunity to interview/present and/or give demonstrations; the State reserves the right, in its discretion, to select only the top scoring </w:t>
            </w:r>
            <w:r w:rsidR="00412513" w:rsidRPr="00873992">
              <w:rPr>
                <w:rFonts w:cs="Arial"/>
              </w:rPr>
              <w:t>B</w:t>
            </w:r>
            <w:r w:rsidR="001B2E6D" w:rsidRPr="00873992">
              <w:rPr>
                <w:rFonts w:cs="Arial"/>
              </w:rPr>
              <w:t>idders to present/give oral interviews.</w:t>
            </w:r>
            <w:r w:rsidR="00883EE9" w:rsidRPr="00873992">
              <w:rPr>
                <w:rFonts w:cs="Arial"/>
              </w:rPr>
              <w:t xml:space="preserve"> </w:t>
            </w:r>
            <w:r w:rsidR="00B81E52" w:rsidRPr="00873992">
              <w:rPr>
                <w:rFonts w:cs="Arial"/>
              </w:rPr>
              <w:t>Bidders</w:t>
            </w:r>
            <w:r w:rsidR="00883EE9" w:rsidRPr="00873992">
              <w:rPr>
                <w:rFonts w:cs="Arial"/>
              </w:rPr>
              <w:t xml:space="preserve"> invited to present/give oral interviews will be provided with presentation guidelines and demonstration content and information in advance of their scheduled demonstration date.  Each </w:t>
            </w:r>
            <w:r w:rsidR="00B81E52" w:rsidRPr="00873992">
              <w:rPr>
                <w:rFonts w:cs="Arial"/>
              </w:rPr>
              <w:t>Bidder</w:t>
            </w:r>
            <w:r w:rsidR="00883EE9" w:rsidRPr="00873992">
              <w:rPr>
                <w:rFonts w:cs="Arial"/>
              </w:rPr>
              <w:t xml:space="preserve"> </w:t>
            </w:r>
            <w:r w:rsidRPr="00873992">
              <w:rPr>
                <w:rFonts w:cs="Arial"/>
              </w:rPr>
              <w:t>will be</w:t>
            </w:r>
            <w:r w:rsidR="00883EE9" w:rsidRPr="00873992">
              <w:rPr>
                <w:rFonts w:cs="Arial"/>
              </w:rPr>
              <w:t xml:space="preserve"> asked to adhere to an identical presentation agenda. </w:t>
            </w:r>
          </w:p>
        </w:tc>
      </w:tr>
      <w:tr w:rsidR="0015078F" w:rsidRPr="00873992" w14:paraId="0AAA0FC0" w14:textId="77777777" w:rsidTr="00DB73FF">
        <w:trPr>
          <w:trHeight w:val="2393"/>
        </w:trPr>
        <w:tc>
          <w:tcPr>
            <w:tcW w:w="1067" w:type="dxa"/>
          </w:tcPr>
          <w:p w14:paraId="260BF3E1" w14:textId="5E1B68C0" w:rsidR="00327201" w:rsidRPr="00873992" w:rsidRDefault="00327201" w:rsidP="00327201">
            <w:pPr>
              <w:pStyle w:val="Level1Body"/>
              <w:jc w:val="left"/>
              <w:rPr>
                <w:rFonts w:cs="Arial"/>
              </w:rPr>
            </w:pPr>
            <w:r w:rsidRPr="00873992">
              <w:rPr>
                <w:rFonts w:cs="Arial"/>
              </w:rPr>
              <w:t>50.</w:t>
            </w:r>
          </w:p>
        </w:tc>
        <w:tc>
          <w:tcPr>
            <w:tcW w:w="1762" w:type="dxa"/>
          </w:tcPr>
          <w:p w14:paraId="3397BE6E" w14:textId="181AEAE2" w:rsidR="00327201" w:rsidRPr="00873992" w:rsidRDefault="00327201" w:rsidP="00327201">
            <w:pPr>
              <w:pStyle w:val="Level1Body"/>
              <w:jc w:val="left"/>
              <w:rPr>
                <w:rFonts w:cs="Arial"/>
              </w:rPr>
            </w:pPr>
            <w:r w:rsidRPr="00873992">
              <w:rPr>
                <w:rFonts w:cs="Arial"/>
              </w:rPr>
              <w:t>V.B – Project Objectives</w:t>
            </w:r>
          </w:p>
        </w:tc>
        <w:tc>
          <w:tcPr>
            <w:tcW w:w="1042" w:type="dxa"/>
          </w:tcPr>
          <w:p w14:paraId="5F714492" w14:textId="5BB1AC27" w:rsidR="00327201" w:rsidRPr="00873992" w:rsidRDefault="00327201" w:rsidP="00327201">
            <w:pPr>
              <w:pStyle w:val="Level1Body"/>
              <w:jc w:val="left"/>
              <w:rPr>
                <w:rFonts w:cs="Arial"/>
              </w:rPr>
            </w:pPr>
            <w:r w:rsidRPr="00873992">
              <w:rPr>
                <w:rFonts w:cs="Arial"/>
              </w:rPr>
              <w:t>26</w:t>
            </w:r>
          </w:p>
        </w:tc>
        <w:tc>
          <w:tcPr>
            <w:tcW w:w="2714" w:type="dxa"/>
          </w:tcPr>
          <w:p w14:paraId="1760813D" w14:textId="4A263C05" w:rsidR="00327201" w:rsidRPr="00873992" w:rsidRDefault="00327201" w:rsidP="00327201">
            <w:pPr>
              <w:pStyle w:val="Level1Body"/>
              <w:jc w:val="left"/>
              <w:rPr>
                <w:rFonts w:cs="Arial"/>
              </w:rPr>
            </w:pPr>
            <w:r w:rsidRPr="00873992">
              <w:rPr>
                <w:rFonts w:cs="Arial"/>
              </w:rPr>
              <w:t>Describe what would make one vendor the clear winner over all others.</w:t>
            </w:r>
          </w:p>
        </w:tc>
        <w:tc>
          <w:tcPr>
            <w:tcW w:w="2765" w:type="dxa"/>
          </w:tcPr>
          <w:p w14:paraId="6C4ABFB9" w14:textId="479EBB01" w:rsidR="00327201" w:rsidRPr="00873992" w:rsidRDefault="00965EFB" w:rsidP="00DB73FF">
            <w:pPr>
              <w:pStyle w:val="Level1Body"/>
              <w:jc w:val="left"/>
              <w:rPr>
                <w:rFonts w:cs="Arial"/>
              </w:rPr>
            </w:pPr>
            <w:r w:rsidRPr="00873992">
              <w:rPr>
                <w:rFonts w:cs="Arial"/>
              </w:rPr>
              <w:t xml:space="preserve">The State reserves the right to evaluate solicitation responses and award contracts in a manner utilizing criteria selected at the State's discretion and in the State’s best interest.  </w:t>
            </w:r>
            <w:r w:rsidR="00EF4717" w:rsidRPr="00873992">
              <w:rPr>
                <w:rFonts w:cs="Arial"/>
              </w:rPr>
              <w:t>See the</w:t>
            </w:r>
            <w:r w:rsidR="001B2E6D" w:rsidRPr="00873992">
              <w:rPr>
                <w:rFonts w:cs="Arial"/>
              </w:rPr>
              <w:t xml:space="preserve"> RFP, including but not limited to, </w:t>
            </w:r>
            <w:r w:rsidR="00E22E81" w:rsidRPr="00873992">
              <w:rPr>
                <w:rFonts w:cs="Arial"/>
              </w:rPr>
              <w:t xml:space="preserve">Section I. </w:t>
            </w:r>
            <w:r w:rsidR="00EF4717" w:rsidRPr="00873992">
              <w:rPr>
                <w:rFonts w:cs="Arial"/>
              </w:rPr>
              <w:t xml:space="preserve">- </w:t>
            </w:r>
            <w:r w:rsidR="00E22E81" w:rsidRPr="00873992">
              <w:rPr>
                <w:rFonts w:cs="Arial"/>
              </w:rPr>
              <w:t>O., P., and Q. for Solicitation Requirements, Evaluation Committee</w:t>
            </w:r>
            <w:r w:rsidR="001B2E6D" w:rsidRPr="00873992">
              <w:rPr>
                <w:rFonts w:cs="Arial"/>
              </w:rPr>
              <w:t xml:space="preserve">, </w:t>
            </w:r>
            <w:r w:rsidR="00EF4717" w:rsidRPr="00873992">
              <w:rPr>
                <w:rFonts w:cs="Arial"/>
              </w:rPr>
              <w:t xml:space="preserve">and </w:t>
            </w:r>
            <w:r w:rsidR="001B2E6D" w:rsidRPr="00873992">
              <w:rPr>
                <w:rFonts w:cs="Arial"/>
              </w:rPr>
              <w:t>Evaluation of Solicitation Responses</w:t>
            </w:r>
            <w:r w:rsidR="00EF4717" w:rsidRPr="00873992">
              <w:rPr>
                <w:rFonts w:cs="Arial"/>
              </w:rPr>
              <w:t>.</w:t>
            </w:r>
          </w:p>
        </w:tc>
      </w:tr>
    </w:tbl>
    <w:p w14:paraId="58801D01" w14:textId="3E080372" w:rsidR="00932B83" w:rsidRPr="00873992" w:rsidRDefault="00932B83" w:rsidP="00A02988">
      <w:pPr>
        <w:pStyle w:val="Level1Body"/>
        <w:jc w:val="left"/>
        <w:rPr>
          <w:rFonts w:cs="Arial"/>
          <w:sz w:val="20"/>
        </w:rPr>
      </w:pPr>
      <w:r w:rsidRPr="00873992">
        <w:rPr>
          <w:rFonts w:cs="Arial"/>
          <w:sz w:val="20"/>
          <w:lang w:val="en-CA"/>
        </w:rPr>
        <w:lastRenderedPageBreak/>
        <w:fldChar w:fldCharType="begin"/>
      </w:r>
      <w:r w:rsidRPr="00873992">
        <w:rPr>
          <w:rFonts w:cs="Arial"/>
          <w:sz w:val="20"/>
          <w:lang w:val="en-CA"/>
        </w:rPr>
        <w:instrText xml:space="preserve"> SEQ CHAPTER \h \r 1</w:instrText>
      </w:r>
      <w:r w:rsidRPr="00873992">
        <w:rPr>
          <w:rFonts w:cs="Arial"/>
          <w:sz w:val="20"/>
          <w:lang w:val="en-CA"/>
        </w:rPr>
        <w:fldChar w:fldCharType="end"/>
      </w:r>
    </w:p>
    <w:p w14:paraId="45E59DCF" w14:textId="77777777" w:rsidR="00FA5ABF" w:rsidRPr="00873992" w:rsidRDefault="00932B83" w:rsidP="00A02988">
      <w:pPr>
        <w:jc w:val="left"/>
        <w:rPr>
          <w:rFonts w:cs="Arial"/>
          <w:sz w:val="20"/>
          <w:szCs w:val="20"/>
        </w:rPr>
      </w:pPr>
      <w:r w:rsidRPr="00873992">
        <w:rPr>
          <w:rFonts w:cs="Arial"/>
          <w:sz w:val="20"/>
          <w:szCs w:val="20"/>
        </w:rPr>
        <w:t xml:space="preserve">This addendum will be incorporated into the solicitation. </w:t>
      </w:r>
    </w:p>
    <w:p w14:paraId="14E3DE00" w14:textId="77777777" w:rsidR="00932B83" w:rsidRPr="00873992" w:rsidRDefault="00932B83" w:rsidP="00A02988">
      <w:pPr>
        <w:jc w:val="left"/>
        <w:rPr>
          <w:rFonts w:cs="Arial"/>
          <w:sz w:val="20"/>
          <w:szCs w:val="20"/>
        </w:rPr>
      </w:pPr>
    </w:p>
    <w:p w14:paraId="55F890B8" w14:textId="5DFEDBB5" w:rsidR="007049CB" w:rsidRPr="00760D32" w:rsidRDefault="007049CB" w:rsidP="00766790">
      <w:pPr>
        <w:tabs>
          <w:tab w:val="left" w:pos="7000"/>
        </w:tabs>
      </w:pPr>
    </w:p>
    <w:sectPr w:rsidR="007049CB" w:rsidRPr="00760D3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0628" w14:textId="77777777" w:rsidR="00663E08" w:rsidRDefault="00663E08" w:rsidP="00932B83">
      <w:r>
        <w:separator/>
      </w:r>
    </w:p>
  </w:endnote>
  <w:endnote w:type="continuationSeparator" w:id="0">
    <w:p w14:paraId="25E183B0" w14:textId="77777777" w:rsidR="00663E08" w:rsidRDefault="00663E08"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6562"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7994" w14:textId="77777777" w:rsidR="00937FD6" w:rsidRPr="00937FD6" w:rsidRDefault="00937FD6" w:rsidP="00937FD6">
    <w:pPr>
      <w:pStyle w:val="Footer"/>
      <w:jc w:val="right"/>
      <w:rPr>
        <w:sz w:val="20"/>
        <w:szCs w:val="20"/>
      </w:rPr>
    </w:pPr>
    <w:r w:rsidRPr="00937FD6">
      <w:rPr>
        <w:sz w:val="20"/>
        <w:szCs w:val="20"/>
      </w:rPr>
      <w:t>SPB Form 26</w:t>
    </w:r>
  </w:p>
  <w:p w14:paraId="2251F078" w14:textId="77777777" w:rsidR="00937FD6" w:rsidRPr="00937FD6" w:rsidRDefault="00937FD6" w:rsidP="00937FD6">
    <w:pPr>
      <w:pStyle w:val="Footer"/>
      <w:jc w:val="right"/>
      <w:rPr>
        <w:sz w:val="20"/>
        <w:szCs w:val="20"/>
      </w:rPr>
    </w:pPr>
    <w:r w:rsidRPr="00937FD6">
      <w:rPr>
        <w:sz w:val="20"/>
        <w:szCs w:val="20"/>
      </w:rPr>
      <w:t>Last Revised 4-17-2025</w:t>
    </w:r>
  </w:p>
  <w:p w14:paraId="3C82ECEF" w14:textId="77777777" w:rsidR="00937FD6" w:rsidRPr="00937FD6" w:rsidRDefault="00873992"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05C84F4A"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EA3C"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E791" w14:textId="77777777" w:rsidR="00663E08" w:rsidRDefault="00663E08" w:rsidP="00932B83">
      <w:r>
        <w:separator/>
      </w:r>
    </w:p>
  </w:footnote>
  <w:footnote w:type="continuationSeparator" w:id="0">
    <w:p w14:paraId="39D54CD5" w14:textId="77777777" w:rsidR="00663E08" w:rsidRDefault="00663E08"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4FAA"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8AF"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9C76"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13585"/>
    <w:multiLevelType w:val="hybridMultilevel"/>
    <w:tmpl w:val="ED4289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686998"/>
    <w:multiLevelType w:val="hybridMultilevel"/>
    <w:tmpl w:val="7A98BEA2"/>
    <w:lvl w:ilvl="0" w:tplc="F4BA4CB0">
      <w:start w:val="1"/>
      <w:numFmt w:val="lowerRoman"/>
      <w:lvlText w:val="%1."/>
      <w:lvlJc w:val="left"/>
      <w:pPr>
        <w:ind w:left="841" w:hanging="720"/>
      </w:pPr>
      <w:rPr>
        <w:rFonts w:cs="Arial" w:hint="default"/>
        <w:color w:val="2F3030"/>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2" w15:restartNumberingAfterBreak="0">
    <w:nsid w:val="7BA420F1"/>
    <w:multiLevelType w:val="multilevel"/>
    <w:tmpl w:val="8098A3E4"/>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w:hAnsi="Arial" w:cs="Arial" w:hint="default"/>
        <w:b w:val="0"/>
        <w:bCs/>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w:hAnsi="Arial" w:cs="Arial" w:hint="default"/>
        <w:b w:val="0"/>
        <w:bCs/>
        <w:i w:val="0"/>
        <w:sz w:val="18"/>
        <w:szCs w:val="18"/>
      </w:rPr>
    </w:lvl>
    <w:lvl w:ilvl="5">
      <w:start w:val="1"/>
      <w:numFmt w:val="lowerLetter"/>
      <w:pStyle w:val="Level6"/>
      <w:lvlText w:val="%6)"/>
      <w:lvlJc w:val="left"/>
      <w:pPr>
        <w:tabs>
          <w:tab w:val="num" w:pos="720"/>
        </w:tabs>
        <w:ind w:left="3600" w:hanging="720"/>
      </w:pPr>
      <w:rPr>
        <w:rFonts w:ascii="Arial" w:hAnsi="Arial" w:cs="Arial" w:hint="default"/>
        <w:b w:val="0"/>
        <w:bCs/>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2057896937">
    <w:abstractNumId w:val="2"/>
  </w:num>
  <w:num w:numId="2" w16cid:durableId="879822395">
    <w:abstractNumId w:val="0"/>
  </w:num>
  <w:num w:numId="3" w16cid:durableId="76881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49"/>
    <w:rsid w:val="000035D9"/>
    <w:rsid w:val="000075E4"/>
    <w:rsid w:val="00013341"/>
    <w:rsid w:val="00014D8F"/>
    <w:rsid w:val="00016925"/>
    <w:rsid w:val="00020C7E"/>
    <w:rsid w:val="000270B8"/>
    <w:rsid w:val="00050B15"/>
    <w:rsid w:val="0006541E"/>
    <w:rsid w:val="00070790"/>
    <w:rsid w:val="000753B4"/>
    <w:rsid w:val="000A1ACD"/>
    <w:rsid w:val="000B5788"/>
    <w:rsid w:val="000B5D16"/>
    <w:rsid w:val="000C0B67"/>
    <w:rsid w:val="000C32FF"/>
    <w:rsid w:val="000E2D5E"/>
    <w:rsid w:val="001002F0"/>
    <w:rsid w:val="0010233F"/>
    <w:rsid w:val="0010436C"/>
    <w:rsid w:val="00114D23"/>
    <w:rsid w:val="00115934"/>
    <w:rsid w:val="00121F78"/>
    <w:rsid w:val="00147E33"/>
    <w:rsid w:val="00147F4B"/>
    <w:rsid w:val="0015078F"/>
    <w:rsid w:val="00166ADE"/>
    <w:rsid w:val="00167726"/>
    <w:rsid w:val="001717E1"/>
    <w:rsid w:val="00172A08"/>
    <w:rsid w:val="001900E5"/>
    <w:rsid w:val="001908B0"/>
    <w:rsid w:val="001B2E6D"/>
    <w:rsid w:val="001C0A93"/>
    <w:rsid w:val="001D341E"/>
    <w:rsid w:val="001D5E7B"/>
    <w:rsid w:val="001E7631"/>
    <w:rsid w:val="00214E64"/>
    <w:rsid w:val="0023361D"/>
    <w:rsid w:val="00250AF8"/>
    <w:rsid w:val="00254335"/>
    <w:rsid w:val="00256728"/>
    <w:rsid w:val="00290882"/>
    <w:rsid w:val="002A732A"/>
    <w:rsid w:val="002B1B8C"/>
    <w:rsid w:val="002C0741"/>
    <w:rsid w:val="002C132D"/>
    <w:rsid w:val="002C4096"/>
    <w:rsid w:val="002C53FA"/>
    <w:rsid w:val="002D176A"/>
    <w:rsid w:val="002D659A"/>
    <w:rsid w:val="002F2363"/>
    <w:rsid w:val="002F554B"/>
    <w:rsid w:val="0031556C"/>
    <w:rsid w:val="00317442"/>
    <w:rsid w:val="0032329F"/>
    <w:rsid w:val="00327201"/>
    <w:rsid w:val="00344C00"/>
    <w:rsid w:val="00357773"/>
    <w:rsid w:val="003745C3"/>
    <w:rsid w:val="00391ABE"/>
    <w:rsid w:val="00391C64"/>
    <w:rsid w:val="00391E21"/>
    <w:rsid w:val="003A565D"/>
    <w:rsid w:val="003A70F0"/>
    <w:rsid w:val="003B681E"/>
    <w:rsid w:val="003D53F9"/>
    <w:rsid w:val="0040033D"/>
    <w:rsid w:val="00411A7F"/>
    <w:rsid w:val="00412513"/>
    <w:rsid w:val="004451ED"/>
    <w:rsid w:val="00465D29"/>
    <w:rsid w:val="00471BD4"/>
    <w:rsid w:val="00480D33"/>
    <w:rsid w:val="00491286"/>
    <w:rsid w:val="004A3979"/>
    <w:rsid w:val="004A4BB5"/>
    <w:rsid w:val="004D4CFB"/>
    <w:rsid w:val="004D58D7"/>
    <w:rsid w:val="004F4226"/>
    <w:rsid w:val="00505F4E"/>
    <w:rsid w:val="0051192E"/>
    <w:rsid w:val="00560405"/>
    <w:rsid w:val="00576758"/>
    <w:rsid w:val="00587BD9"/>
    <w:rsid w:val="005F4A2C"/>
    <w:rsid w:val="00601AB5"/>
    <w:rsid w:val="006048A3"/>
    <w:rsid w:val="00605BCC"/>
    <w:rsid w:val="0062066C"/>
    <w:rsid w:val="00623F6F"/>
    <w:rsid w:val="006363EE"/>
    <w:rsid w:val="00655939"/>
    <w:rsid w:val="00663E08"/>
    <w:rsid w:val="00667A96"/>
    <w:rsid w:val="006776C9"/>
    <w:rsid w:val="00685246"/>
    <w:rsid w:val="006913A0"/>
    <w:rsid w:val="00692848"/>
    <w:rsid w:val="006A41A3"/>
    <w:rsid w:val="006B2854"/>
    <w:rsid w:val="006B6AD2"/>
    <w:rsid w:val="006E0BAE"/>
    <w:rsid w:val="006F2960"/>
    <w:rsid w:val="006F55DB"/>
    <w:rsid w:val="0070025A"/>
    <w:rsid w:val="00704485"/>
    <w:rsid w:val="007049CB"/>
    <w:rsid w:val="0071311F"/>
    <w:rsid w:val="00713E8D"/>
    <w:rsid w:val="00714099"/>
    <w:rsid w:val="0074187F"/>
    <w:rsid w:val="00751A89"/>
    <w:rsid w:val="00760D32"/>
    <w:rsid w:val="00765679"/>
    <w:rsid w:val="00766790"/>
    <w:rsid w:val="00784152"/>
    <w:rsid w:val="007841AB"/>
    <w:rsid w:val="007A2064"/>
    <w:rsid w:val="007C224F"/>
    <w:rsid w:val="007C5018"/>
    <w:rsid w:val="007D4407"/>
    <w:rsid w:val="007D7C10"/>
    <w:rsid w:val="007E1E41"/>
    <w:rsid w:val="007E5744"/>
    <w:rsid w:val="007F6F14"/>
    <w:rsid w:val="00804F85"/>
    <w:rsid w:val="008141E2"/>
    <w:rsid w:val="0081457C"/>
    <w:rsid w:val="0082047B"/>
    <w:rsid w:val="00821040"/>
    <w:rsid w:val="008432E6"/>
    <w:rsid w:val="00873992"/>
    <w:rsid w:val="0087451B"/>
    <w:rsid w:val="0087628D"/>
    <w:rsid w:val="00883EE9"/>
    <w:rsid w:val="00891CAE"/>
    <w:rsid w:val="008B7C99"/>
    <w:rsid w:val="008C0C88"/>
    <w:rsid w:val="008D0D48"/>
    <w:rsid w:val="008D6F71"/>
    <w:rsid w:val="008E2FD9"/>
    <w:rsid w:val="008F5B13"/>
    <w:rsid w:val="00907851"/>
    <w:rsid w:val="00932B83"/>
    <w:rsid w:val="00937FD6"/>
    <w:rsid w:val="00944FF0"/>
    <w:rsid w:val="00947A3B"/>
    <w:rsid w:val="0095751A"/>
    <w:rsid w:val="00965EFB"/>
    <w:rsid w:val="009915F6"/>
    <w:rsid w:val="00993C6B"/>
    <w:rsid w:val="009A3783"/>
    <w:rsid w:val="009B05C9"/>
    <w:rsid w:val="009B5FC0"/>
    <w:rsid w:val="009C4506"/>
    <w:rsid w:val="009D121D"/>
    <w:rsid w:val="009E14FE"/>
    <w:rsid w:val="00A02988"/>
    <w:rsid w:val="00A261F9"/>
    <w:rsid w:val="00A32DE5"/>
    <w:rsid w:val="00A375EE"/>
    <w:rsid w:val="00A37DE7"/>
    <w:rsid w:val="00A4343C"/>
    <w:rsid w:val="00A44A25"/>
    <w:rsid w:val="00A44A9C"/>
    <w:rsid w:val="00A55CE9"/>
    <w:rsid w:val="00A73DC1"/>
    <w:rsid w:val="00A8480C"/>
    <w:rsid w:val="00A85C2D"/>
    <w:rsid w:val="00A931B4"/>
    <w:rsid w:val="00AA1AF0"/>
    <w:rsid w:val="00AD3740"/>
    <w:rsid w:val="00AD3996"/>
    <w:rsid w:val="00AD6DB9"/>
    <w:rsid w:val="00AE41F8"/>
    <w:rsid w:val="00AF44D5"/>
    <w:rsid w:val="00B208BB"/>
    <w:rsid w:val="00B271B2"/>
    <w:rsid w:val="00B35AA1"/>
    <w:rsid w:val="00B50382"/>
    <w:rsid w:val="00B5698B"/>
    <w:rsid w:val="00B66C73"/>
    <w:rsid w:val="00B81E52"/>
    <w:rsid w:val="00B82346"/>
    <w:rsid w:val="00BB28DE"/>
    <w:rsid w:val="00BB5008"/>
    <w:rsid w:val="00BD6F31"/>
    <w:rsid w:val="00BE3D75"/>
    <w:rsid w:val="00BF2D2A"/>
    <w:rsid w:val="00BF34B3"/>
    <w:rsid w:val="00BF4769"/>
    <w:rsid w:val="00C15E77"/>
    <w:rsid w:val="00C21504"/>
    <w:rsid w:val="00C2414E"/>
    <w:rsid w:val="00C3181F"/>
    <w:rsid w:val="00C34C95"/>
    <w:rsid w:val="00C47B91"/>
    <w:rsid w:val="00C62FC7"/>
    <w:rsid w:val="00C70240"/>
    <w:rsid w:val="00C8005D"/>
    <w:rsid w:val="00C840A4"/>
    <w:rsid w:val="00CB6926"/>
    <w:rsid w:val="00CC47EF"/>
    <w:rsid w:val="00CE0929"/>
    <w:rsid w:val="00CE1133"/>
    <w:rsid w:val="00CE26CE"/>
    <w:rsid w:val="00CE7814"/>
    <w:rsid w:val="00CF131A"/>
    <w:rsid w:val="00D05A49"/>
    <w:rsid w:val="00D13E9A"/>
    <w:rsid w:val="00D446F3"/>
    <w:rsid w:val="00D57E76"/>
    <w:rsid w:val="00D619E3"/>
    <w:rsid w:val="00DA1B9B"/>
    <w:rsid w:val="00DB4578"/>
    <w:rsid w:val="00DB6AF7"/>
    <w:rsid w:val="00DB73FF"/>
    <w:rsid w:val="00DE2B33"/>
    <w:rsid w:val="00E0079E"/>
    <w:rsid w:val="00E03FA8"/>
    <w:rsid w:val="00E13511"/>
    <w:rsid w:val="00E22E27"/>
    <w:rsid w:val="00E22E81"/>
    <w:rsid w:val="00E33C46"/>
    <w:rsid w:val="00E36BC2"/>
    <w:rsid w:val="00E41CB7"/>
    <w:rsid w:val="00E44297"/>
    <w:rsid w:val="00E5209C"/>
    <w:rsid w:val="00E53999"/>
    <w:rsid w:val="00E66478"/>
    <w:rsid w:val="00E80FAC"/>
    <w:rsid w:val="00E844AC"/>
    <w:rsid w:val="00ED7E3F"/>
    <w:rsid w:val="00EE514C"/>
    <w:rsid w:val="00EF4717"/>
    <w:rsid w:val="00EF689B"/>
    <w:rsid w:val="00F01D0A"/>
    <w:rsid w:val="00F1436B"/>
    <w:rsid w:val="00F20D3D"/>
    <w:rsid w:val="00F21A09"/>
    <w:rsid w:val="00F26A3A"/>
    <w:rsid w:val="00F30E60"/>
    <w:rsid w:val="00F50F98"/>
    <w:rsid w:val="00F76B81"/>
    <w:rsid w:val="00F86A81"/>
    <w:rsid w:val="00F936B9"/>
    <w:rsid w:val="00FA5ABF"/>
    <w:rsid w:val="00FB3332"/>
    <w:rsid w:val="00FB40B3"/>
    <w:rsid w:val="00FC4A64"/>
    <w:rsid w:val="00FC58FF"/>
    <w:rsid w:val="00FC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40582"/>
  <w15:chartTrackingRefBased/>
  <w15:docId w15:val="{DF520776-3A92-49C6-A304-20175A93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7049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11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character" w:styleId="Hyperlink">
    <w:name w:val="Hyperlink"/>
    <w:uiPriority w:val="99"/>
    <w:rsid w:val="004D4CFB"/>
    <w:rPr>
      <w:rFonts w:ascii="Arial" w:hAnsi="Arial"/>
      <w:color w:val="0000FF"/>
      <w:sz w:val="20"/>
      <w:u w:val="single"/>
    </w:rPr>
  </w:style>
  <w:style w:type="paragraph" w:customStyle="1" w:styleId="Level3">
    <w:name w:val="Level 3"/>
    <w:qFormat/>
    <w:rsid w:val="007049CB"/>
    <w:pPr>
      <w:numPr>
        <w:ilvl w:val="2"/>
        <w:numId w:val="1"/>
      </w:numPr>
      <w:autoSpaceDE w:val="0"/>
      <w:autoSpaceDN w:val="0"/>
      <w:adjustRightInd w:val="0"/>
      <w:spacing w:after="0" w:line="240" w:lineRule="auto"/>
    </w:pPr>
    <w:rPr>
      <w:rFonts w:ascii="Arial" w:eastAsia="Times New Roman" w:hAnsi="Arial" w:cs="Times New Roman"/>
      <w:color w:val="000000"/>
      <w:sz w:val="18"/>
      <w:szCs w:val="24"/>
    </w:rPr>
  </w:style>
  <w:style w:type="paragraph" w:customStyle="1" w:styleId="Level4">
    <w:name w:val="Level 4"/>
    <w:aliases w:val="Indent Text"/>
    <w:link w:val="Level4Char"/>
    <w:qFormat/>
    <w:rsid w:val="007049CB"/>
    <w:pPr>
      <w:numPr>
        <w:ilvl w:val="3"/>
        <w:numId w:val="1"/>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7049CB"/>
    <w:rPr>
      <w:rFonts w:ascii="Arial" w:eastAsia="Times New Roman" w:hAnsi="Arial" w:cs="Times New Roman"/>
      <w:sz w:val="18"/>
      <w:szCs w:val="24"/>
    </w:rPr>
  </w:style>
  <w:style w:type="paragraph" w:customStyle="1" w:styleId="Level6">
    <w:name w:val="Level 6"/>
    <w:basedOn w:val="Normal"/>
    <w:rsid w:val="007049CB"/>
    <w:pPr>
      <w:numPr>
        <w:ilvl w:val="5"/>
        <w:numId w:val="1"/>
      </w:numPr>
    </w:pPr>
    <w:rPr>
      <w:sz w:val="18"/>
    </w:rPr>
  </w:style>
  <w:style w:type="paragraph" w:customStyle="1" w:styleId="Level1">
    <w:name w:val="Level 1"/>
    <w:basedOn w:val="Heading1"/>
    <w:qFormat/>
    <w:rsid w:val="007049CB"/>
    <w:pPr>
      <w:keepNext w:val="0"/>
      <w:keepLines w:val="0"/>
      <w:numPr>
        <w:numId w:val="1"/>
      </w:numPr>
      <w:tabs>
        <w:tab w:val="num" w:pos="360"/>
      </w:tabs>
      <w:spacing w:before="0"/>
      <w:jc w:val="left"/>
    </w:pPr>
    <w:rPr>
      <w:rFonts w:ascii="Arial" w:eastAsia="Times New Roman" w:hAnsi="Arial" w:cs="Times New Roman"/>
      <w:b/>
      <w:bCs/>
      <w:color w:val="auto"/>
      <w:sz w:val="20"/>
      <w:szCs w:val="22"/>
    </w:rPr>
  </w:style>
  <w:style w:type="paragraph" w:customStyle="1" w:styleId="Level7">
    <w:name w:val="Level 7"/>
    <w:basedOn w:val="Normal"/>
    <w:rsid w:val="007049CB"/>
    <w:pPr>
      <w:numPr>
        <w:ilvl w:val="6"/>
        <w:numId w:val="1"/>
      </w:numPr>
      <w:tabs>
        <w:tab w:val="clear" w:pos="720"/>
        <w:tab w:val="num" w:pos="360"/>
      </w:tabs>
      <w:ind w:left="0" w:firstLine="0"/>
    </w:pPr>
  </w:style>
  <w:style w:type="character" w:customStyle="1" w:styleId="Heading1Char">
    <w:name w:val="Heading 1 Char"/>
    <w:basedOn w:val="DefaultParagraphFont"/>
    <w:link w:val="Heading1"/>
    <w:uiPriority w:val="9"/>
    <w:rsid w:val="007049C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E7631"/>
    <w:rPr>
      <w:color w:val="605E5C"/>
      <w:shd w:val="clear" w:color="auto" w:fill="E1DFDD"/>
    </w:rPr>
  </w:style>
  <w:style w:type="character" w:styleId="CommentReference">
    <w:name w:val="annotation reference"/>
    <w:uiPriority w:val="99"/>
    <w:semiHidden/>
    <w:rsid w:val="007C5018"/>
    <w:rPr>
      <w:sz w:val="16"/>
      <w:szCs w:val="16"/>
    </w:rPr>
  </w:style>
  <w:style w:type="paragraph" w:styleId="CommentText">
    <w:name w:val="annotation text"/>
    <w:basedOn w:val="Normal"/>
    <w:link w:val="CommentTextChar"/>
    <w:uiPriority w:val="99"/>
    <w:semiHidden/>
    <w:rsid w:val="007C5018"/>
    <w:rPr>
      <w:sz w:val="20"/>
      <w:szCs w:val="20"/>
    </w:rPr>
  </w:style>
  <w:style w:type="character" w:customStyle="1" w:styleId="CommentTextChar">
    <w:name w:val="Comment Text Char"/>
    <w:basedOn w:val="DefaultParagraphFont"/>
    <w:link w:val="CommentText"/>
    <w:uiPriority w:val="99"/>
    <w:semiHidden/>
    <w:rsid w:val="007C5018"/>
    <w:rPr>
      <w:rFonts w:ascii="Arial" w:eastAsia="Times New Roman" w:hAnsi="Arial" w:cs="Times New Roman"/>
      <w:sz w:val="20"/>
      <w:szCs w:val="20"/>
    </w:rPr>
  </w:style>
  <w:style w:type="paragraph" w:customStyle="1" w:styleId="Level2">
    <w:name w:val="Level 2"/>
    <w:basedOn w:val="Heading2"/>
    <w:rsid w:val="00CE1133"/>
    <w:p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jc w:val="left"/>
    </w:pPr>
    <w:rPr>
      <w:rFonts w:ascii="Arial" w:eastAsia="Times New Roman" w:hAnsi="Arial" w:cs="Arial"/>
      <w:b/>
      <w:bCs/>
      <w:color w:val="000000"/>
      <w:sz w:val="18"/>
      <w:szCs w:val="22"/>
    </w:rPr>
  </w:style>
  <w:style w:type="character" w:customStyle="1" w:styleId="Heading2Char">
    <w:name w:val="Heading 2 Char"/>
    <w:basedOn w:val="DefaultParagraphFont"/>
    <w:link w:val="Heading2"/>
    <w:uiPriority w:val="9"/>
    <w:semiHidden/>
    <w:rsid w:val="00CE1133"/>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5F4A2C"/>
    <w:rPr>
      <w:b/>
      <w:bCs/>
    </w:rPr>
  </w:style>
  <w:style w:type="character" w:customStyle="1" w:styleId="CommentSubjectChar">
    <w:name w:val="Comment Subject Char"/>
    <w:basedOn w:val="CommentTextChar"/>
    <w:link w:val="CommentSubject"/>
    <w:uiPriority w:val="99"/>
    <w:semiHidden/>
    <w:rsid w:val="005F4A2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6659">
      <w:bodyDiv w:val="1"/>
      <w:marLeft w:val="0"/>
      <w:marRight w:val="0"/>
      <w:marTop w:val="0"/>
      <w:marBottom w:val="0"/>
      <w:divBdr>
        <w:top w:val="none" w:sz="0" w:space="0" w:color="auto"/>
        <w:left w:val="none" w:sz="0" w:space="0" w:color="auto"/>
        <w:bottom w:val="none" w:sz="0" w:space="0" w:color="auto"/>
        <w:right w:val="none" w:sz="0" w:space="0" w:color="auto"/>
      </w:divBdr>
    </w:div>
    <w:div w:id="80764435">
      <w:bodyDiv w:val="1"/>
      <w:marLeft w:val="0"/>
      <w:marRight w:val="0"/>
      <w:marTop w:val="0"/>
      <w:marBottom w:val="0"/>
      <w:divBdr>
        <w:top w:val="none" w:sz="0" w:space="0" w:color="auto"/>
        <w:left w:val="none" w:sz="0" w:space="0" w:color="auto"/>
        <w:bottom w:val="none" w:sz="0" w:space="0" w:color="auto"/>
        <w:right w:val="none" w:sz="0" w:space="0" w:color="auto"/>
      </w:divBdr>
    </w:div>
    <w:div w:id="190263927">
      <w:bodyDiv w:val="1"/>
      <w:marLeft w:val="0"/>
      <w:marRight w:val="0"/>
      <w:marTop w:val="0"/>
      <w:marBottom w:val="0"/>
      <w:divBdr>
        <w:top w:val="none" w:sz="0" w:space="0" w:color="auto"/>
        <w:left w:val="none" w:sz="0" w:space="0" w:color="auto"/>
        <w:bottom w:val="none" w:sz="0" w:space="0" w:color="auto"/>
        <w:right w:val="none" w:sz="0" w:space="0" w:color="auto"/>
      </w:divBdr>
    </w:div>
    <w:div w:id="254483383">
      <w:bodyDiv w:val="1"/>
      <w:marLeft w:val="0"/>
      <w:marRight w:val="0"/>
      <w:marTop w:val="0"/>
      <w:marBottom w:val="0"/>
      <w:divBdr>
        <w:top w:val="none" w:sz="0" w:space="0" w:color="auto"/>
        <w:left w:val="none" w:sz="0" w:space="0" w:color="auto"/>
        <w:bottom w:val="none" w:sz="0" w:space="0" w:color="auto"/>
        <w:right w:val="none" w:sz="0" w:space="0" w:color="auto"/>
      </w:divBdr>
    </w:div>
    <w:div w:id="290598729">
      <w:bodyDiv w:val="1"/>
      <w:marLeft w:val="0"/>
      <w:marRight w:val="0"/>
      <w:marTop w:val="0"/>
      <w:marBottom w:val="0"/>
      <w:divBdr>
        <w:top w:val="none" w:sz="0" w:space="0" w:color="auto"/>
        <w:left w:val="none" w:sz="0" w:space="0" w:color="auto"/>
        <w:bottom w:val="none" w:sz="0" w:space="0" w:color="auto"/>
        <w:right w:val="none" w:sz="0" w:space="0" w:color="auto"/>
      </w:divBdr>
    </w:div>
    <w:div w:id="373625023">
      <w:bodyDiv w:val="1"/>
      <w:marLeft w:val="0"/>
      <w:marRight w:val="0"/>
      <w:marTop w:val="0"/>
      <w:marBottom w:val="0"/>
      <w:divBdr>
        <w:top w:val="none" w:sz="0" w:space="0" w:color="auto"/>
        <w:left w:val="none" w:sz="0" w:space="0" w:color="auto"/>
        <w:bottom w:val="none" w:sz="0" w:space="0" w:color="auto"/>
        <w:right w:val="none" w:sz="0" w:space="0" w:color="auto"/>
      </w:divBdr>
    </w:div>
    <w:div w:id="413749271">
      <w:bodyDiv w:val="1"/>
      <w:marLeft w:val="0"/>
      <w:marRight w:val="0"/>
      <w:marTop w:val="0"/>
      <w:marBottom w:val="0"/>
      <w:divBdr>
        <w:top w:val="none" w:sz="0" w:space="0" w:color="auto"/>
        <w:left w:val="none" w:sz="0" w:space="0" w:color="auto"/>
        <w:bottom w:val="none" w:sz="0" w:space="0" w:color="auto"/>
        <w:right w:val="none" w:sz="0" w:space="0" w:color="auto"/>
      </w:divBdr>
    </w:div>
    <w:div w:id="607126404">
      <w:bodyDiv w:val="1"/>
      <w:marLeft w:val="0"/>
      <w:marRight w:val="0"/>
      <w:marTop w:val="0"/>
      <w:marBottom w:val="0"/>
      <w:divBdr>
        <w:top w:val="none" w:sz="0" w:space="0" w:color="auto"/>
        <w:left w:val="none" w:sz="0" w:space="0" w:color="auto"/>
        <w:bottom w:val="none" w:sz="0" w:space="0" w:color="auto"/>
        <w:right w:val="none" w:sz="0" w:space="0" w:color="auto"/>
      </w:divBdr>
    </w:div>
    <w:div w:id="742028911">
      <w:bodyDiv w:val="1"/>
      <w:marLeft w:val="0"/>
      <w:marRight w:val="0"/>
      <w:marTop w:val="0"/>
      <w:marBottom w:val="0"/>
      <w:divBdr>
        <w:top w:val="none" w:sz="0" w:space="0" w:color="auto"/>
        <w:left w:val="none" w:sz="0" w:space="0" w:color="auto"/>
        <w:bottom w:val="none" w:sz="0" w:space="0" w:color="auto"/>
        <w:right w:val="none" w:sz="0" w:space="0" w:color="auto"/>
      </w:divBdr>
    </w:div>
    <w:div w:id="791020516">
      <w:bodyDiv w:val="1"/>
      <w:marLeft w:val="0"/>
      <w:marRight w:val="0"/>
      <w:marTop w:val="0"/>
      <w:marBottom w:val="0"/>
      <w:divBdr>
        <w:top w:val="none" w:sz="0" w:space="0" w:color="auto"/>
        <w:left w:val="none" w:sz="0" w:space="0" w:color="auto"/>
        <w:bottom w:val="none" w:sz="0" w:space="0" w:color="auto"/>
        <w:right w:val="none" w:sz="0" w:space="0" w:color="auto"/>
      </w:divBdr>
    </w:div>
    <w:div w:id="835803351">
      <w:bodyDiv w:val="1"/>
      <w:marLeft w:val="0"/>
      <w:marRight w:val="0"/>
      <w:marTop w:val="0"/>
      <w:marBottom w:val="0"/>
      <w:divBdr>
        <w:top w:val="none" w:sz="0" w:space="0" w:color="auto"/>
        <w:left w:val="none" w:sz="0" w:space="0" w:color="auto"/>
        <w:bottom w:val="none" w:sz="0" w:space="0" w:color="auto"/>
        <w:right w:val="none" w:sz="0" w:space="0" w:color="auto"/>
      </w:divBdr>
    </w:div>
    <w:div w:id="1035424622">
      <w:bodyDiv w:val="1"/>
      <w:marLeft w:val="0"/>
      <w:marRight w:val="0"/>
      <w:marTop w:val="0"/>
      <w:marBottom w:val="0"/>
      <w:divBdr>
        <w:top w:val="none" w:sz="0" w:space="0" w:color="auto"/>
        <w:left w:val="none" w:sz="0" w:space="0" w:color="auto"/>
        <w:bottom w:val="none" w:sz="0" w:space="0" w:color="auto"/>
        <w:right w:val="none" w:sz="0" w:space="0" w:color="auto"/>
      </w:divBdr>
    </w:div>
    <w:div w:id="1237471181">
      <w:bodyDiv w:val="1"/>
      <w:marLeft w:val="0"/>
      <w:marRight w:val="0"/>
      <w:marTop w:val="0"/>
      <w:marBottom w:val="0"/>
      <w:divBdr>
        <w:top w:val="none" w:sz="0" w:space="0" w:color="auto"/>
        <w:left w:val="none" w:sz="0" w:space="0" w:color="auto"/>
        <w:bottom w:val="none" w:sz="0" w:space="0" w:color="auto"/>
        <w:right w:val="none" w:sz="0" w:space="0" w:color="auto"/>
      </w:divBdr>
    </w:div>
    <w:div w:id="1303577216">
      <w:bodyDiv w:val="1"/>
      <w:marLeft w:val="0"/>
      <w:marRight w:val="0"/>
      <w:marTop w:val="0"/>
      <w:marBottom w:val="0"/>
      <w:divBdr>
        <w:top w:val="none" w:sz="0" w:space="0" w:color="auto"/>
        <w:left w:val="none" w:sz="0" w:space="0" w:color="auto"/>
        <w:bottom w:val="none" w:sz="0" w:space="0" w:color="auto"/>
        <w:right w:val="none" w:sz="0" w:space="0" w:color="auto"/>
      </w:divBdr>
    </w:div>
    <w:div w:id="1351948912">
      <w:bodyDiv w:val="1"/>
      <w:marLeft w:val="0"/>
      <w:marRight w:val="0"/>
      <w:marTop w:val="0"/>
      <w:marBottom w:val="0"/>
      <w:divBdr>
        <w:top w:val="none" w:sz="0" w:space="0" w:color="auto"/>
        <w:left w:val="none" w:sz="0" w:space="0" w:color="auto"/>
        <w:bottom w:val="none" w:sz="0" w:space="0" w:color="auto"/>
        <w:right w:val="none" w:sz="0" w:space="0" w:color="auto"/>
      </w:divBdr>
    </w:div>
    <w:div w:id="1370567953">
      <w:bodyDiv w:val="1"/>
      <w:marLeft w:val="0"/>
      <w:marRight w:val="0"/>
      <w:marTop w:val="0"/>
      <w:marBottom w:val="0"/>
      <w:divBdr>
        <w:top w:val="none" w:sz="0" w:space="0" w:color="auto"/>
        <w:left w:val="none" w:sz="0" w:space="0" w:color="auto"/>
        <w:bottom w:val="none" w:sz="0" w:space="0" w:color="auto"/>
        <w:right w:val="none" w:sz="0" w:space="0" w:color="auto"/>
      </w:divBdr>
    </w:div>
    <w:div w:id="1552351372">
      <w:bodyDiv w:val="1"/>
      <w:marLeft w:val="0"/>
      <w:marRight w:val="0"/>
      <w:marTop w:val="0"/>
      <w:marBottom w:val="0"/>
      <w:divBdr>
        <w:top w:val="none" w:sz="0" w:space="0" w:color="auto"/>
        <w:left w:val="none" w:sz="0" w:space="0" w:color="auto"/>
        <w:bottom w:val="none" w:sz="0" w:space="0" w:color="auto"/>
        <w:right w:val="none" w:sz="0" w:space="0" w:color="auto"/>
      </w:divBdr>
    </w:div>
    <w:div w:id="1573540218">
      <w:bodyDiv w:val="1"/>
      <w:marLeft w:val="0"/>
      <w:marRight w:val="0"/>
      <w:marTop w:val="0"/>
      <w:marBottom w:val="0"/>
      <w:divBdr>
        <w:top w:val="none" w:sz="0" w:space="0" w:color="auto"/>
        <w:left w:val="none" w:sz="0" w:space="0" w:color="auto"/>
        <w:bottom w:val="none" w:sz="0" w:space="0" w:color="auto"/>
        <w:right w:val="none" w:sz="0" w:space="0" w:color="auto"/>
      </w:divBdr>
    </w:div>
    <w:div w:id="1689717272">
      <w:bodyDiv w:val="1"/>
      <w:marLeft w:val="0"/>
      <w:marRight w:val="0"/>
      <w:marTop w:val="0"/>
      <w:marBottom w:val="0"/>
      <w:divBdr>
        <w:top w:val="none" w:sz="0" w:space="0" w:color="auto"/>
        <w:left w:val="none" w:sz="0" w:space="0" w:color="auto"/>
        <w:bottom w:val="none" w:sz="0" w:space="0" w:color="auto"/>
        <w:right w:val="none" w:sz="0" w:space="0" w:color="auto"/>
      </w:divBdr>
    </w:div>
    <w:div w:id="1820342532">
      <w:bodyDiv w:val="1"/>
      <w:marLeft w:val="0"/>
      <w:marRight w:val="0"/>
      <w:marTop w:val="0"/>
      <w:marBottom w:val="0"/>
      <w:divBdr>
        <w:top w:val="none" w:sz="0" w:space="0" w:color="auto"/>
        <w:left w:val="none" w:sz="0" w:space="0" w:color="auto"/>
        <w:bottom w:val="none" w:sz="0" w:space="0" w:color="auto"/>
        <w:right w:val="none" w:sz="0" w:space="0" w:color="auto"/>
      </w:divBdr>
    </w:div>
    <w:div w:id="1836415080">
      <w:bodyDiv w:val="1"/>
      <w:marLeft w:val="0"/>
      <w:marRight w:val="0"/>
      <w:marTop w:val="0"/>
      <w:marBottom w:val="0"/>
      <w:divBdr>
        <w:top w:val="none" w:sz="0" w:space="0" w:color="auto"/>
        <w:left w:val="none" w:sz="0" w:space="0" w:color="auto"/>
        <w:bottom w:val="none" w:sz="0" w:space="0" w:color="auto"/>
        <w:right w:val="none" w:sz="0" w:space="0" w:color="auto"/>
      </w:divBdr>
    </w:div>
    <w:div w:id="1927884627">
      <w:bodyDiv w:val="1"/>
      <w:marLeft w:val="0"/>
      <w:marRight w:val="0"/>
      <w:marTop w:val="0"/>
      <w:marBottom w:val="0"/>
      <w:divBdr>
        <w:top w:val="none" w:sz="0" w:space="0" w:color="auto"/>
        <w:left w:val="none" w:sz="0" w:space="0" w:color="auto"/>
        <w:bottom w:val="none" w:sz="0" w:space="0" w:color="auto"/>
        <w:right w:val="none" w:sz="0" w:space="0" w:color="auto"/>
      </w:divBdr>
    </w:div>
    <w:div w:id="1929658878">
      <w:bodyDiv w:val="1"/>
      <w:marLeft w:val="0"/>
      <w:marRight w:val="0"/>
      <w:marTop w:val="0"/>
      <w:marBottom w:val="0"/>
      <w:divBdr>
        <w:top w:val="none" w:sz="0" w:space="0" w:color="auto"/>
        <w:left w:val="none" w:sz="0" w:space="0" w:color="auto"/>
        <w:bottom w:val="none" w:sz="0" w:space="0" w:color="auto"/>
        <w:right w:val="none" w:sz="0" w:space="0" w:color="auto"/>
      </w:divBdr>
    </w:div>
    <w:div w:id="1973057546">
      <w:bodyDiv w:val="1"/>
      <w:marLeft w:val="0"/>
      <w:marRight w:val="0"/>
      <w:marTop w:val="0"/>
      <w:marBottom w:val="0"/>
      <w:divBdr>
        <w:top w:val="none" w:sz="0" w:space="0" w:color="auto"/>
        <w:left w:val="none" w:sz="0" w:space="0" w:color="auto"/>
        <w:bottom w:val="none" w:sz="0" w:space="0" w:color="auto"/>
        <w:right w:val="none" w:sz="0" w:space="0" w:color="auto"/>
      </w:divBdr>
    </w:div>
    <w:div w:id="20778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contracts.nebrask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tc.nebraska.gov/standard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tc.nebraska.gov/stand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itc.nebraska.gov/standar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itc.nebraska.gov/standard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D26E-2E67-4D21-BAC1-C52C5B80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26 - Solicitation Addendum - Q&amp;A</Template>
  <TotalTime>4</TotalTime>
  <Pages>15</Pages>
  <Words>4790</Words>
  <Characters>26346</Characters>
  <Application>Microsoft Office Word</Application>
  <DocSecurity>0</DocSecurity>
  <Lines>1386</Lines>
  <Paragraphs>362</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Rowlands</dc:creator>
  <cp:keywords/>
  <dc:description/>
  <cp:lastModifiedBy>Rowlands, Kelly</cp:lastModifiedBy>
  <cp:revision>3</cp:revision>
  <cp:lastPrinted>2025-10-01T19:54:00Z</cp:lastPrinted>
  <dcterms:created xsi:type="dcterms:W3CDTF">2025-10-03T18:06:00Z</dcterms:created>
  <dcterms:modified xsi:type="dcterms:W3CDTF">2025-10-03T18:26:00Z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da3ea021-26e9-4490-942b-39dea86fbc58</vt:lpwstr>
  </property>
</Properties>
</file>